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F4A7FFF"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C41C3F">
        <w:rPr>
          <w:bCs/>
          <w:noProof w:val="0"/>
          <w:sz w:val="24"/>
          <w:szCs w:val="24"/>
        </w:rPr>
        <w:t>00501</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134C2CD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44627">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5DE528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44627">
        <w:rPr>
          <w:rFonts w:ascii="Arial" w:hAnsi="Arial" w:cs="Arial"/>
          <w:b/>
          <w:bCs/>
          <w:sz w:val="24"/>
        </w:rPr>
        <w:t xml:space="preserve">On </w:t>
      </w:r>
      <w:r w:rsidR="00244627" w:rsidRPr="00244627">
        <w:rPr>
          <w:rFonts w:ascii="Arial" w:hAnsi="Arial" w:cs="Arial"/>
          <w:b/>
          <w:bCs/>
          <w:sz w:val="24"/>
        </w:rPr>
        <w:t>physical layer aspects of small data transmission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351DC96" w:rsidR="004A77B1" w:rsidRDefault="009C0599" w:rsidP="00A64A6E">
      <w:bookmarkStart w:id="1" w:name="_Hlk510705081"/>
      <w:r>
        <w:t>RAN#88 initiated a WI on small data transmissions in inactive state [2] stating on Note 2 that “</w:t>
      </w:r>
      <w:r w:rsidRPr="009C0599">
        <w:t>Any associated specification work in RAN1 that is needed to support the above set of objectives should be initiated by RAN2 via an LS.</w:t>
      </w:r>
      <w:r>
        <w:t xml:space="preserve">” </w:t>
      </w:r>
    </w:p>
    <w:tbl>
      <w:tblPr>
        <w:tblStyle w:val="TableGrid"/>
        <w:tblW w:w="0" w:type="auto"/>
        <w:tblLook w:val="04A0" w:firstRow="1" w:lastRow="0" w:firstColumn="1" w:lastColumn="0" w:noHBand="0" w:noVBand="1"/>
      </w:tblPr>
      <w:tblGrid>
        <w:gridCol w:w="9629"/>
      </w:tblGrid>
      <w:tr w:rsidR="009C0599" w14:paraId="26A41346" w14:textId="77777777" w:rsidTr="009C0599">
        <w:tc>
          <w:tcPr>
            <w:tcW w:w="9629" w:type="dxa"/>
          </w:tcPr>
          <w:p w14:paraId="7F843BF1" w14:textId="77777777" w:rsidR="009C0599" w:rsidRPr="009C0599" w:rsidRDefault="009C0599" w:rsidP="009C0599">
            <w:pPr>
              <w:pStyle w:val="ListParagraph"/>
              <w:widowControl w:val="0"/>
              <w:numPr>
                <w:ilvl w:val="0"/>
                <w:numId w:val="29"/>
              </w:numPr>
              <w:spacing w:line="259" w:lineRule="auto"/>
              <w:contextualSpacing w:val="0"/>
              <w:jc w:val="both"/>
              <w:rPr>
                <w:sz w:val="20"/>
                <w:szCs w:val="20"/>
              </w:rPr>
            </w:pPr>
            <w:r w:rsidRPr="009C0599">
              <w:rPr>
                <w:sz w:val="20"/>
                <w:szCs w:val="20"/>
              </w:rPr>
              <w:t xml:space="preserve">For </w:t>
            </w:r>
            <w:proofErr w:type="spellStart"/>
            <w:r w:rsidRPr="009C0599">
              <w:rPr>
                <w:sz w:val="20"/>
                <w:szCs w:val="20"/>
              </w:rPr>
              <w:t>the</w:t>
            </w:r>
            <w:proofErr w:type="spellEnd"/>
            <w:r w:rsidRPr="009C0599">
              <w:rPr>
                <w:sz w:val="20"/>
                <w:szCs w:val="20"/>
              </w:rPr>
              <w:t xml:space="preserve"> RRC_INACTIVE </w:t>
            </w:r>
            <w:proofErr w:type="spellStart"/>
            <w:r w:rsidRPr="009C0599">
              <w:rPr>
                <w:sz w:val="20"/>
                <w:szCs w:val="20"/>
              </w:rPr>
              <w:t>state</w:t>
            </w:r>
            <w:proofErr w:type="spellEnd"/>
            <w:r w:rsidRPr="009C0599">
              <w:rPr>
                <w:sz w:val="20"/>
                <w:szCs w:val="20"/>
              </w:rPr>
              <w:t>:</w:t>
            </w:r>
          </w:p>
          <w:p w14:paraId="0EFC92C0" w14:textId="77777777" w:rsidR="009C0599" w:rsidRPr="009C0599" w:rsidRDefault="009C0599" w:rsidP="009C0599">
            <w:pPr>
              <w:pStyle w:val="ListParagraph"/>
              <w:widowControl w:val="0"/>
              <w:numPr>
                <w:ilvl w:val="1"/>
                <w:numId w:val="29"/>
              </w:numPr>
              <w:spacing w:line="259" w:lineRule="auto"/>
              <w:ind w:left="644"/>
              <w:contextualSpacing w:val="0"/>
              <w:jc w:val="both"/>
              <w:rPr>
                <w:sz w:val="20"/>
                <w:szCs w:val="20"/>
              </w:rPr>
            </w:pPr>
            <w:r w:rsidRPr="009C0599">
              <w:rPr>
                <w:sz w:val="20"/>
                <w:szCs w:val="20"/>
              </w:rPr>
              <w:t xml:space="preserve">UL </w:t>
            </w:r>
            <w:proofErr w:type="spellStart"/>
            <w:r w:rsidRPr="009C0599">
              <w:rPr>
                <w:sz w:val="20"/>
                <w:szCs w:val="20"/>
              </w:rPr>
              <w:t>small</w:t>
            </w:r>
            <w:proofErr w:type="spellEnd"/>
            <w:r w:rsidRPr="009C0599">
              <w:rPr>
                <w:sz w:val="20"/>
                <w:szCs w:val="20"/>
              </w:rPr>
              <w:t xml:space="preserve"> data </w:t>
            </w:r>
            <w:proofErr w:type="spellStart"/>
            <w:r w:rsidRPr="009C0599">
              <w:rPr>
                <w:sz w:val="20"/>
                <w:szCs w:val="20"/>
              </w:rPr>
              <w:t>transmissions</w:t>
            </w:r>
            <w:proofErr w:type="spellEnd"/>
            <w:r w:rsidRPr="009C0599">
              <w:rPr>
                <w:sz w:val="20"/>
                <w:szCs w:val="20"/>
              </w:rPr>
              <w:t xml:space="preserve"> for RACH-</w:t>
            </w:r>
            <w:proofErr w:type="spellStart"/>
            <w:r w:rsidRPr="009C0599">
              <w:rPr>
                <w:sz w:val="20"/>
                <w:szCs w:val="20"/>
              </w:rPr>
              <w:t>based</w:t>
            </w:r>
            <w:proofErr w:type="spellEnd"/>
            <w:r w:rsidRPr="009C0599">
              <w:rPr>
                <w:sz w:val="20"/>
                <w:szCs w:val="20"/>
              </w:rPr>
              <w:t xml:space="preserve"> </w:t>
            </w:r>
            <w:proofErr w:type="spellStart"/>
            <w:r w:rsidRPr="009C0599">
              <w:rPr>
                <w:sz w:val="20"/>
                <w:szCs w:val="20"/>
              </w:rPr>
              <w:t>schemes</w:t>
            </w:r>
            <w:proofErr w:type="spellEnd"/>
            <w:r w:rsidRPr="009C0599">
              <w:rPr>
                <w:sz w:val="20"/>
                <w:szCs w:val="20"/>
              </w:rPr>
              <w:t xml:space="preserve"> (i.e. 2-step and 4-step RACH):</w:t>
            </w:r>
          </w:p>
          <w:p w14:paraId="0A968F84" w14:textId="06817104"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bookmarkStart w:id="2" w:name="_Hlk26863976"/>
            <w:r w:rsidRPr="009C0599">
              <w:rPr>
                <w:sz w:val="20"/>
                <w:szCs w:val="20"/>
              </w:rPr>
              <w:t xml:space="preserve">General </w:t>
            </w:r>
            <w:proofErr w:type="spellStart"/>
            <w:r w:rsidRPr="009C0599">
              <w:rPr>
                <w:sz w:val="20"/>
                <w:szCs w:val="20"/>
              </w:rPr>
              <w:t>procedure</w:t>
            </w:r>
            <w:proofErr w:type="spellEnd"/>
            <w:r w:rsidRPr="009C0599">
              <w:rPr>
                <w:sz w:val="20"/>
                <w:szCs w:val="20"/>
              </w:rPr>
              <w:t xml:space="preserve"> to </w:t>
            </w:r>
            <w:proofErr w:type="spellStart"/>
            <w:r w:rsidRPr="009C0599">
              <w:rPr>
                <w:sz w:val="20"/>
                <w:szCs w:val="20"/>
              </w:rPr>
              <w:t>enable</w:t>
            </w:r>
            <w:proofErr w:type="spellEnd"/>
            <w:r w:rsidRPr="009C0599">
              <w:rPr>
                <w:sz w:val="20"/>
                <w:szCs w:val="20"/>
              </w:rPr>
              <w:t xml:space="preserve"> UP data transmission for </w:t>
            </w:r>
            <w:proofErr w:type="spellStart"/>
            <w:r w:rsidRPr="009C0599">
              <w:rPr>
                <w:sz w:val="20"/>
                <w:szCs w:val="20"/>
              </w:rPr>
              <w:t>small</w:t>
            </w:r>
            <w:proofErr w:type="spellEnd"/>
            <w:r w:rsidRPr="009C0599">
              <w:rPr>
                <w:sz w:val="20"/>
                <w:szCs w:val="20"/>
              </w:rPr>
              <w:t xml:space="preserve"> data </w:t>
            </w:r>
            <w:proofErr w:type="spellStart"/>
            <w:r w:rsidRPr="009C0599">
              <w:rPr>
                <w:sz w:val="20"/>
                <w:szCs w:val="20"/>
              </w:rPr>
              <w:t>packets</w:t>
            </w:r>
            <w:proofErr w:type="spellEnd"/>
            <w:r w:rsidRPr="009C0599">
              <w:rPr>
                <w:sz w:val="20"/>
                <w:szCs w:val="20"/>
              </w:rPr>
              <w:t xml:space="preserve"> </w:t>
            </w:r>
            <w:proofErr w:type="spellStart"/>
            <w:r w:rsidRPr="009C0599">
              <w:rPr>
                <w:sz w:val="20"/>
                <w:szCs w:val="20"/>
              </w:rPr>
              <w:t>from</w:t>
            </w:r>
            <w:proofErr w:type="spellEnd"/>
            <w:r w:rsidRPr="009C0599">
              <w:rPr>
                <w:sz w:val="20"/>
                <w:szCs w:val="20"/>
              </w:rPr>
              <w:t xml:space="preserve"> INACTIVE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e.g</w:t>
            </w:r>
            <w:proofErr w:type="spellEnd"/>
            <w:r w:rsidRPr="009C0599">
              <w:rPr>
                <w:sz w:val="20"/>
                <w:szCs w:val="20"/>
              </w:rPr>
              <w:t xml:space="preserve">. </w:t>
            </w:r>
            <w:proofErr w:type="spellStart"/>
            <w:r w:rsidRPr="009C0599">
              <w:rPr>
                <w:sz w:val="20"/>
                <w:szCs w:val="20"/>
              </w:rPr>
              <w:t>using</w:t>
            </w:r>
            <w:proofErr w:type="spellEnd"/>
            <w:r w:rsidRPr="009C0599">
              <w:rPr>
                <w:sz w:val="20"/>
                <w:szCs w:val="20"/>
              </w:rPr>
              <w:t xml:space="preserve"> MSGA </w:t>
            </w:r>
            <w:proofErr w:type="spellStart"/>
            <w:r w:rsidRPr="009C0599">
              <w:rPr>
                <w:sz w:val="20"/>
                <w:szCs w:val="20"/>
              </w:rPr>
              <w:t>or</w:t>
            </w:r>
            <w:proofErr w:type="spellEnd"/>
            <w:r w:rsidRPr="009C0599">
              <w:rPr>
                <w:sz w:val="20"/>
                <w:szCs w:val="20"/>
              </w:rPr>
              <w:t xml:space="preserve"> MSG3) </w:t>
            </w:r>
            <w:bookmarkEnd w:id="2"/>
            <w:r w:rsidRPr="009C0599">
              <w:rPr>
                <w:sz w:val="20"/>
                <w:szCs w:val="20"/>
              </w:rPr>
              <w:t>[RAN2]</w:t>
            </w:r>
          </w:p>
          <w:p w14:paraId="4D0C8488"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Enable</w:t>
            </w:r>
            <w:proofErr w:type="spellEnd"/>
            <w:r w:rsidRPr="009C0599">
              <w:rPr>
                <w:sz w:val="20"/>
                <w:szCs w:val="20"/>
              </w:rPr>
              <w:t xml:space="preserve"> </w:t>
            </w:r>
            <w:proofErr w:type="spellStart"/>
            <w:r w:rsidRPr="009C0599">
              <w:rPr>
                <w:sz w:val="20"/>
                <w:szCs w:val="20"/>
              </w:rPr>
              <w:t>flexible</w:t>
            </w:r>
            <w:proofErr w:type="spellEnd"/>
            <w:r w:rsidRPr="009C0599">
              <w:rPr>
                <w:sz w:val="20"/>
                <w:szCs w:val="20"/>
              </w:rPr>
              <w:t xml:space="preserve"> </w:t>
            </w:r>
            <w:proofErr w:type="spellStart"/>
            <w:r w:rsidRPr="009C0599">
              <w:rPr>
                <w:sz w:val="20"/>
                <w:szCs w:val="20"/>
              </w:rPr>
              <w:t>payload</w:t>
            </w:r>
            <w:proofErr w:type="spellEnd"/>
            <w:r w:rsidRPr="009C0599">
              <w:rPr>
                <w:sz w:val="20"/>
                <w:szCs w:val="20"/>
              </w:rPr>
              <w:t xml:space="preserve"> </w:t>
            </w:r>
            <w:proofErr w:type="spellStart"/>
            <w:r w:rsidRPr="009C0599">
              <w:rPr>
                <w:sz w:val="20"/>
                <w:szCs w:val="20"/>
              </w:rPr>
              <w:t>sizes</w:t>
            </w:r>
            <w:proofErr w:type="spellEnd"/>
            <w:r w:rsidRPr="009C0599">
              <w:rPr>
                <w:sz w:val="20"/>
                <w:szCs w:val="20"/>
              </w:rPr>
              <w:t xml:space="preserve"> </w:t>
            </w:r>
            <w:proofErr w:type="spellStart"/>
            <w:r w:rsidRPr="009C0599">
              <w:rPr>
                <w:sz w:val="20"/>
                <w:szCs w:val="20"/>
              </w:rPr>
              <w:t>larger</w:t>
            </w:r>
            <w:proofErr w:type="spellEnd"/>
            <w:r w:rsidRPr="009C0599">
              <w:rPr>
                <w:sz w:val="20"/>
                <w:szCs w:val="20"/>
              </w:rPr>
              <w:t xml:space="preserve"> </w:t>
            </w:r>
            <w:proofErr w:type="spellStart"/>
            <w:r w:rsidRPr="009C0599">
              <w:rPr>
                <w:sz w:val="20"/>
                <w:szCs w:val="20"/>
              </w:rPr>
              <w:t>than</w:t>
            </w:r>
            <w:proofErr w:type="spellEnd"/>
            <w:r w:rsidRPr="009C0599">
              <w:rPr>
                <w:sz w:val="20"/>
                <w:szCs w:val="20"/>
              </w:rPr>
              <w:t xml:space="preserve"> </w:t>
            </w:r>
            <w:proofErr w:type="spellStart"/>
            <w:r w:rsidRPr="009C0599">
              <w:rPr>
                <w:sz w:val="20"/>
                <w:szCs w:val="20"/>
              </w:rPr>
              <w:t>the</w:t>
            </w:r>
            <w:proofErr w:type="spellEnd"/>
            <w:r w:rsidRPr="009C0599">
              <w:rPr>
                <w:sz w:val="20"/>
                <w:szCs w:val="20"/>
              </w:rPr>
              <w:t xml:space="preserve"> Rel-16 CCCH </w:t>
            </w:r>
            <w:proofErr w:type="spellStart"/>
            <w:r w:rsidRPr="009C0599">
              <w:rPr>
                <w:sz w:val="20"/>
                <w:szCs w:val="20"/>
              </w:rPr>
              <w:t>message</w:t>
            </w:r>
            <w:proofErr w:type="spellEnd"/>
            <w:r w:rsidRPr="009C0599">
              <w:rPr>
                <w:sz w:val="20"/>
                <w:szCs w:val="20"/>
              </w:rPr>
              <w:t xml:space="preserve"> </w:t>
            </w:r>
            <w:proofErr w:type="spellStart"/>
            <w:r w:rsidRPr="009C0599">
              <w:rPr>
                <w:sz w:val="20"/>
                <w:szCs w:val="20"/>
              </w:rPr>
              <w:t>size</w:t>
            </w:r>
            <w:proofErr w:type="spellEnd"/>
            <w:r w:rsidRPr="009C0599">
              <w:rPr>
                <w:sz w:val="20"/>
                <w:szCs w:val="20"/>
              </w:rPr>
              <w:t xml:space="preserve"> </w:t>
            </w:r>
            <w:proofErr w:type="spellStart"/>
            <w:r w:rsidRPr="009C0599">
              <w:rPr>
                <w:sz w:val="20"/>
                <w:szCs w:val="20"/>
              </w:rPr>
              <w:t>that</w:t>
            </w:r>
            <w:proofErr w:type="spellEnd"/>
            <w:r w:rsidRPr="009C0599">
              <w:rPr>
                <w:sz w:val="20"/>
                <w:szCs w:val="20"/>
              </w:rPr>
              <w:t xml:space="preserve"> is </w:t>
            </w:r>
            <w:proofErr w:type="spellStart"/>
            <w:r w:rsidRPr="009C0599">
              <w:rPr>
                <w:sz w:val="20"/>
                <w:szCs w:val="20"/>
              </w:rPr>
              <w:t>possible</w:t>
            </w:r>
            <w:proofErr w:type="spellEnd"/>
            <w:r w:rsidRPr="009C0599">
              <w:rPr>
                <w:sz w:val="20"/>
                <w:szCs w:val="20"/>
              </w:rPr>
              <w:t xml:space="preserve"> </w:t>
            </w:r>
            <w:proofErr w:type="spellStart"/>
            <w:r w:rsidRPr="009C0599">
              <w:rPr>
                <w:sz w:val="20"/>
                <w:szCs w:val="20"/>
              </w:rPr>
              <w:t>currently</w:t>
            </w:r>
            <w:proofErr w:type="spellEnd"/>
            <w:r w:rsidRPr="009C0599">
              <w:rPr>
                <w:sz w:val="20"/>
                <w:szCs w:val="20"/>
              </w:rPr>
              <w:t xml:space="preserve"> for INACTIVE </w:t>
            </w:r>
            <w:proofErr w:type="spellStart"/>
            <w:r w:rsidRPr="009C0599">
              <w:rPr>
                <w:sz w:val="20"/>
                <w:szCs w:val="20"/>
              </w:rPr>
              <w:t>state</w:t>
            </w:r>
            <w:proofErr w:type="spellEnd"/>
            <w:r w:rsidRPr="009C0599">
              <w:rPr>
                <w:sz w:val="20"/>
                <w:szCs w:val="20"/>
              </w:rPr>
              <w:t xml:space="preserve"> for MSGA and MSG3 to </w:t>
            </w:r>
            <w:proofErr w:type="spellStart"/>
            <w:r w:rsidRPr="009C0599">
              <w:rPr>
                <w:sz w:val="20"/>
                <w:szCs w:val="20"/>
              </w:rPr>
              <w:t>support</w:t>
            </w:r>
            <w:proofErr w:type="spellEnd"/>
            <w:r w:rsidRPr="009C0599">
              <w:rPr>
                <w:sz w:val="20"/>
                <w:szCs w:val="20"/>
              </w:rPr>
              <w:t xml:space="preserve"> UP data transmission in UL (</w:t>
            </w:r>
            <w:proofErr w:type="spellStart"/>
            <w:r w:rsidRPr="009C0599">
              <w:rPr>
                <w:sz w:val="20"/>
                <w:szCs w:val="20"/>
              </w:rPr>
              <w:t>actual</w:t>
            </w:r>
            <w:proofErr w:type="spellEnd"/>
            <w:r w:rsidRPr="009C0599">
              <w:rPr>
                <w:sz w:val="20"/>
                <w:szCs w:val="20"/>
              </w:rPr>
              <w:t xml:space="preserve"> </w:t>
            </w:r>
            <w:proofErr w:type="spellStart"/>
            <w:r w:rsidRPr="009C0599">
              <w:rPr>
                <w:sz w:val="20"/>
                <w:szCs w:val="20"/>
              </w:rPr>
              <w:t>payload</w:t>
            </w:r>
            <w:proofErr w:type="spellEnd"/>
            <w:r w:rsidRPr="009C0599">
              <w:rPr>
                <w:sz w:val="20"/>
                <w:szCs w:val="20"/>
              </w:rPr>
              <w:t xml:space="preserve"> </w:t>
            </w:r>
            <w:proofErr w:type="spellStart"/>
            <w:r w:rsidRPr="009C0599">
              <w:rPr>
                <w:sz w:val="20"/>
                <w:szCs w:val="20"/>
              </w:rPr>
              <w:t>size</w:t>
            </w:r>
            <w:proofErr w:type="spellEnd"/>
            <w:r w:rsidRPr="009C0599">
              <w:rPr>
                <w:sz w:val="20"/>
                <w:szCs w:val="20"/>
              </w:rPr>
              <w:t xml:space="preserve"> </w:t>
            </w:r>
            <w:proofErr w:type="spellStart"/>
            <w:r w:rsidRPr="009C0599">
              <w:rPr>
                <w:sz w:val="20"/>
                <w:szCs w:val="20"/>
              </w:rPr>
              <w:t>can</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up</w:t>
            </w:r>
            <w:proofErr w:type="spellEnd"/>
            <w:r w:rsidRPr="009C0599">
              <w:rPr>
                <w:sz w:val="20"/>
                <w:szCs w:val="20"/>
              </w:rPr>
              <w:t xml:space="preserve"> to </w:t>
            </w:r>
            <w:proofErr w:type="spellStart"/>
            <w:r w:rsidRPr="009C0599">
              <w:rPr>
                <w:sz w:val="20"/>
                <w:szCs w:val="20"/>
              </w:rPr>
              <w:t>network</w:t>
            </w:r>
            <w:proofErr w:type="spellEnd"/>
            <w:r w:rsidRPr="009C0599">
              <w:rPr>
                <w:sz w:val="20"/>
                <w:szCs w:val="20"/>
              </w:rPr>
              <w:t xml:space="preserve"> </w:t>
            </w:r>
            <w:proofErr w:type="spellStart"/>
            <w:r w:rsidRPr="009C0599">
              <w:rPr>
                <w:sz w:val="20"/>
                <w:szCs w:val="20"/>
              </w:rPr>
              <w:t>configuration</w:t>
            </w:r>
            <w:proofErr w:type="spellEnd"/>
            <w:r w:rsidRPr="009C0599">
              <w:rPr>
                <w:sz w:val="20"/>
                <w:szCs w:val="20"/>
              </w:rPr>
              <w:t xml:space="preserve">) [RAN2] </w:t>
            </w:r>
          </w:p>
          <w:p w14:paraId="74453D7B"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Context</w:t>
            </w:r>
            <w:proofErr w:type="spellEnd"/>
            <w:r w:rsidRPr="009C0599">
              <w:rPr>
                <w:sz w:val="20"/>
                <w:szCs w:val="20"/>
              </w:rPr>
              <w:t xml:space="preserve"> </w:t>
            </w:r>
            <w:proofErr w:type="spellStart"/>
            <w:r w:rsidRPr="009C0599">
              <w:rPr>
                <w:sz w:val="20"/>
                <w:szCs w:val="20"/>
              </w:rPr>
              <w:t>fetch</w:t>
            </w:r>
            <w:proofErr w:type="spellEnd"/>
            <w:r w:rsidRPr="009C0599">
              <w:rPr>
                <w:sz w:val="20"/>
                <w:szCs w:val="20"/>
              </w:rPr>
              <w:t xml:space="preserve"> and data </w:t>
            </w:r>
            <w:proofErr w:type="spellStart"/>
            <w:r w:rsidRPr="009C0599">
              <w:rPr>
                <w:sz w:val="20"/>
                <w:szCs w:val="20"/>
              </w:rPr>
              <w:t>forwarding</w:t>
            </w:r>
            <w:proofErr w:type="spellEnd"/>
            <w:r w:rsidRPr="009C0599">
              <w:rPr>
                <w:sz w:val="20"/>
                <w:szCs w:val="20"/>
              </w:rPr>
              <w:t xml:space="preserve"> (</w:t>
            </w:r>
            <w:proofErr w:type="spellStart"/>
            <w:r w:rsidRPr="009C0599">
              <w:rPr>
                <w:sz w:val="20"/>
                <w:szCs w:val="20"/>
              </w:rPr>
              <w:t>with</w:t>
            </w:r>
            <w:proofErr w:type="spellEnd"/>
            <w:r w:rsidRPr="009C0599">
              <w:rPr>
                <w:sz w:val="20"/>
                <w:szCs w:val="20"/>
              </w:rPr>
              <w:t xml:space="preserve"> and </w:t>
            </w:r>
            <w:proofErr w:type="spellStart"/>
            <w:r w:rsidRPr="009C0599">
              <w:rPr>
                <w:sz w:val="20"/>
                <w:szCs w:val="20"/>
              </w:rPr>
              <w:t>without</w:t>
            </w:r>
            <w:proofErr w:type="spellEnd"/>
            <w:r w:rsidRPr="009C0599">
              <w:rPr>
                <w:sz w:val="20"/>
                <w:szCs w:val="20"/>
              </w:rPr>
              <w:t xml:space="preserve"> </w:t>
            </w:r>
            <w:proofErr w:type="spellStart"/>
            <w:r w:rsidRPr="009C0599">
              <w:rPr>
                <w:sz w:val="20"/>
                <w:szCs w:val="20"/>
              </w:rPr>
              <w:t>anchor</w:t>
            </w:r>
            <w:proofErr w:type="spellEnd"/>
            <w:r w:rsidRPr="009C0599">
              <w:rPr>
                <w:sz w:val="20"/>
                <w:szCs w:val="20"/>
              </w:rPr>
              <w:t xml:space="preserve"> </w:t>
            </w:r>
            <w:proofErr w:type="spellStart"/>
            <w:r w:rsidRPr="009C0599">
              <w:rPr>
                <w:sz w:val="20"/>
                <w:szCs w:val="20"/>
              </w:rPr>
              <w:t>relocation</w:t>
            </w:r>
            <w:proofErr w:type="spellEnd"/>
            <w:r w:rsidRPr="009C0599">
              <w:rPr>
                <w:sz w:val="20"/>
                <w:szCs w:val="20"/>
              </w:rPr>
              <w:t xml:space="preserve">) in INACTIVE </w:t>
            </w:r>
            <w:proofErr w:type="spellStart"/>
            <w:r w:rsidRPr="009C0599">
              <w:rPr>
                <w:sz w:val="20"/>
                <w:szCs w:val="20"/>
              </w:rPr>
              <w:t>state</w:t>
            </w:r>
            <w:proofErr w:type="spellEnd"/>
            <w:r w:rsidRPr="009C0599">
              <w:rPr>
                <w:sz w:val="20"/>
                <w:szCs w:val="20"/>
              </w:rPr>
              <w:t xml:space="preserve"> for RACH-</w:t>
            </w:r>
            <w:proofErr w:type="spellStart"/>
            <w:r w:rsidRPr="009C0599">
              <w:rPr>
                <w:sz w:val="20"/>
                <w:szCs w:val="20"/>
              </w:rPr>
              <w:t>based</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[RAN2, RAN3]</w:t>
            </w:r>
          </w:p>
          <w:p w14:paraId="1F547CFD" w14:textId="77777777" w:rsidR="009C0599" w:rsidRPr="009C0599" w:rsidRDefault="009C0599" w:rsidP="009C0599">
            <w:pPr>
              <w:pStyle w:val="ListParagraph"/>
              <w:widowControl w:val="0"/>
              <w:spacing w:line="259" w:lineRule="auto"/>
              <w:ind w:left="1004"/>
              <w:rPr>
                <w:sz w:val="20"/>
                <w:szCs w:val="20"/>
              </w:rPr>
            </w:pPr>
            <w:proofErr w:type="spellStart"/>
            <w:r w:rsidRPr="009C0599">
              <w:rPr>
                <w:sz w:val="20"/>
                <w:szCs w:val="20"/>
              </w:rPr>
              <w:t>Note</w:t>
            </w:r>
            <w:proofErr w:type="spellEnd"/>
            <w:r w:rsidRPr="009C0599">
              <w:rPr>
                <w:sz w:val="20"/>
                <w:szCs w:val="20"/>
              </w:rPr>
              <w:t xml:space="preserve"> 1: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security</w:t>
            </w:r>
            <w:proofErr w:type="spellEnd"/>
            <w:r w:rsidRPr="009C0599">
              <w:rPr>
                <w:sz w:val="20"/>
                <w:szCs w:val="20"/>
              </w:rPr>
              <w:t xml:space="preserve"> </w:t>
            </w:r>
            <w:proofErr w:type="spellStart"/>
            <w:r w:rsidRPr="009C0599">
              <w:rPr>
                <w:sz w:val="20"/>
                <w:szCs w:val="20"/>
              </w:rPr>
              <w:t>aspects</w:t>
            </w:r>
            <w:proofErr w:type="spellEnd"/>
            <w:r w:rsidRPr="009C0599">
              <w:rPr>
                <w:sz w:val="20"/>
                <w:szCs w:val="20"/>
              </w:rPr>
              <w:t xml:space="preserve"> of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above</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checked</w:t>
            </w:r>
            <w:proofErr w:type="spellEnd"/>
            <w:r w:rsidRPr="009C0599">
              <w:rPr>
                <w:sz w:val="20"/>
                <w:szCs w:val="20"/>
              </w:rPr>
              <w:t xml:space="preserve"> </w:t>
            </w:r>
            <w:proofErr w:type="spellStart"/>
            <w:r w:rsidRPr="009C0599">
              <w:rPr>
                <w:sz w:val="20"/>
                <w:szCs w:val="20"/>
              </w:rPr>
              <w:t>with</w:t>
            </w:r>
            <w:proofErr w:type="spellEnd"/>
            <w:r w:rsidRPr="009C0599">
              <w:rPr>
                <w:sz w:val="20"/>
                <w:szCs w:val="20"/>
              </w:rPr>
              <w:t xml:space="preserve"> SA3</w:t>
            </w:r>
          </w:p>
          <w:p w14:paraId="074BBF92" w14:textId="77777777" w:rsidR="009C0599" w:rsidRPr="009C0599" w:rsidRDefault="009C0599" w:rsidP="009C0599">
            <w:pPr>
              <w:pStyle w:val="ListParagraph"/>
              <w:widowControl w:val="0"/>
              <w:numPr>
                <w:ilvl w:val="1"/>
                <w:numId w:val="29"/>
              </w:numPr>
              <w:snapToGrid w:val="0"/>
              <w:spacing w:line="259" w:lineRule="auto"/>
              <w:ind w:left="644"/>
              <w:contextualSpacing w:val="0"/>
              <w:jc w:val="both"/>
              <w:rPr>
                <w:sz w:val="20"/>
                <w:szCs w:val="20"/>
              </w:rPr>
            </w:pPr>
            <w:r w:rsidRPr="009C0599">
              <w:rPr>
                <w:sz w:val="20"/>
                <w:szCs w:val="20"/>
              </w:rPr>
              <w:t xml:space="preserve">Transmission of UL data on </w:t>
            </w:r>
            <w:proofErr w:type="spellStart"/>
            <w:r w:rsidRPr="009C0599">
              <w:rPr>
                <w:sz w:val="20"/>
                <w:szCs w:val="20"/>
              </w:rPr>
              <w:t>pre-configured</w:t>
            </w:r>
            <w:proofErr w:type="spellEnd"/>
            <w:r w:rsidRPr="009C0599">
              <w:rPr>
                <w:sz w:val="20"/>
                <w:szCs w:val="20"/>
              </w:rPr>
              <w:t xml:space="preserve"> PUSCH </w:t>
            </w:r>
            <w:proofErr w:type="spellStart"/>
            <w:r w:rsidRPr="009C0599">
              <w:rPr>
                <w:sz w:val="20"/>
                <w:szCs w:val="20"/>
              </w:rPr>
              <w:t>resources</w:t>
            </w:r>
            <w:proofErr w:type="spellEnd"/>
            <w:r w:rsidRPr="009C0599">
              <w:rPr>
                <w:sz w:val="20"/>
                <w:szCs w:val="20"/>
              </w:rPr>
              <w:t xml:space="preserve"> (i.e. </w:t>
            </w:r>
            <w:proofErr w:type="spellStart"/>
            <w:r w:rsidRPr="009C0599">
              <w:rPr>
                <w:sz w:val="20"/>
                <w:szCs w:val="20"/>
              </w:rPr>
              <w:t>reusing</w:t>
            </w:r>
            <w:proofErr w:type="spellEnd"/>
            <w:r w:rsidRPr="009C0599">
              <w:rPr>
                <w:sz w:val="20"/>
                <w:szCs w:val="20"/>
              </w:rPr>
              <w:t xml:space="preserve">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w:t>
            </w:r>
            <w:proofErr w:type="spellStart"/>
            <w:r w:rsidRPr="009C0599">
              <w:rPr>
                <w:sz w:val="20"/>
                <w:szCs w:val="20"/>
              </w:rPr>
              <w:t>type</w:t>
            </w:r>
            <w:proofErr w:type="spellEnd"/>
            <w:r w:rsidRPr="009C0599">
              <w:rPr>
                <w:sz w:val="20"/>
                <w:szCs w:val="20"/>
              </w:rPr>
              <w:t xml:space="preserve"> 1) – </w:t>
            </w:r>
            <w:proofErr w:type="spellStart"/>
            <w:r w:rsidRPr="009C0599">
              <w:rPr>
                <w:sz w:val="20"/>
                <w:szCs w:val="20"/>
              </w:rPr>
              <w:t>when</w:t>
            </w:r>
            <w:proofErr w:type="spellEnd"/>
            <w:r w:rsidRPr="009C0599">
              <w:rPr>
                <w:sz w:val="20"/>
                <w:szCs w:val="20"/>
              </w:rPr>
              <w:t xml:space="preserve"> TA is </w:t>
            </w:r>
            <w:proofErr w:type="spellStart"/>
            <w:r w:rsidRPr="009C0599">
              <w:rPr>
                <w:sz w:val="20"/>
                <w:szCs w:val="20"/>
              </w:rPr>
              <w:t>valid</w:t>
            </w:r>
            <w:proofErr w:type="spellEnd"/>
          </w:p>
          <w:p w14:paraId="0000E65C" w14:textId="77777777" w:rsidR="009C0599" w:rsidRPr="009C0599" w:rsidRDefault="009C0599" w:rsidP="009C0599">
            <w:pPr>
              <w:pStyle w:val="ListParagraph"/>
              <w:widowControl w:val="0"/>
              <w:numPr>
                <w:ilvl w:val="2"/>
                <w:numId w:val="29"/>
              </w:numPr>
              <w:snapToGrid w:val="0"/>
              <w:spacing w:line="259" w:lineRule="auto"/>
              <w:ind w:left="1364"/>
              <w:contextualSpacing w:val="0"/>
              <w:jc w:val="both"/>
              <w:rPr>
                <w:sz w:val="20"/>
                <w:szCs w:val="20"/>
              </w:rPr>
            </w:pPr>
            <w:r w:rsidRPr="009C0599">
              <w:rPr>
                <w:sz w:val="20"/>
                <w:szCs w:val="20"/>
              </w:rPr>
              <w:t xml:space="preserve">General </w:t>
            </w:r>
            <w:proofErr w:type="spellStart"/>
            <w:r w:rsidRPr="009C0599">
              <w:rPr>
                <w:sz w:val="20"/>
                <w:szCs w:val="20"/>
              </w:rPr>
              <w:t>procedure</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w:t>
            </w:r>
            <w:proofErr w:type="spellStart"/>
            <w:r w:rsidRPr="009C0599">
              <w:rPr>
                <w:sz w:val="20"/>
                <w:szCs w:val="20"/>
              </w:rPr>
              <w:t>over</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w:t>
            </w:r>
            <w:proofErr w:type="spellStart"/>
            <w:r w:rsidRPr="009C0599">
              <w:rPr>
                <w:sz w:val="20"/>
                <w:szCs w:val="20"/>
              </w:rPr>
              <w:t>type</w:t>
            </w:r>
            <w:proofErr w:type="spellEnd"/>
            <w:r w:rsidRPr="009C0599">
              <w:rPr>
                <w:sz w:val="20"/>
                <w:szCs w:val="20"/>
              </w:rPr>
              <w:t xml:space="preserve"> 1 </w:t>
            </w:r>
            <w:proofErr w:type="spellStart"/>
            <w:r w:rsidRPr="009C0599">
              <w:rPr>
                <w:sz w:val="20"/>
                <w:szCs w:val="20"/>
              </w:rPr>
              <w:t>resources</w:t>
            </w:r>
            <w:proofErr w:type="spellEnd"/>
            <w:r w:rsidRPr="009C0599">
              <w:rPr>
                <w:sz w:val="20"/>
                <w:szCs w:val="20"/>
              </w:rPr>
              <w:t xml:space="preserve"> </w:t>
            </w:r>
            <w:proofErr w:type="spellStart"/>
            <w:r w:rsidRPr="009C0599">
              <w:rPr>
                <w:sz w:val="20"/>
                <w:szCs w:val="20"/>
              </w:rPr>
              <w:t>from</w:t>
            </w:r>
            <w:proofErr w:type="spellEnd"/>
            <w:r w:rsidRPr="009C0599">
              <w:rPr>
                <w:sz w:val="20"/>
                <w:szCs w:val="20"/>
              </w:rPr>
              <w:t xml:space="preserve"> INACTIVE </w:t>
            </w:r>
            <w:proofErr w:type="spellStart"/>
            <w:r w:rsidRPr="009C0599">
              <w:rPr>
                <w:sz w:val="20"/>
                <w:szCs w:val="20"/>
              </w:rPr>
              <w:t>state</w:t>
            </w:r>
            <w:proofErr w:type="spellEnd"/>
            <w:r w:rsidRPr="009C0599">
              <w:rPr>
                <w:sz w:val="20"/>
                <w:szCs w:val="20"/>
              </w:rPr>
              <w:t xml:space="preserve"> [RAN2]</w:t>
            </w:r>
          </w:p>
          <w:p w14:paraId="3D92123E" w14:textId="77777777" w:rsidR="009C0599" w:rsidRPr="009C0599" w:rsidRDefault="009C0599" w:rsidP="009C0599">
            <w:pPr>
              <w:pStyle w:val="ListParagraph"/>
              <w:widowControl w:val="0"/>
              <w:numPr>
                <w:ilvl w:val="2"/>
                <w:numId w:val="29"/>
              </w:numPr>
              <w:spacing w:line="259" w:lineRule="auto"/>
              <w:ind w:left="1364"/>
              <w:contextualSpacing w:val="0"/>
              <w:jc w:val="both"/>
              <w:rPr>
                <w:sz w:val="20"/>
                <w:szCs w:val="20"/>
              </w:rPr>
            </w:pPr>
            <w:proofErr w:type="spellStart"/>
            <w:r w:rsidRPr="009C0599">
              <w:rPr>
                <w:sz w:val="20"/>
                <w:szCs w:val="20"/>
              </w:rPr>
              <w:t>Configuration</w:t>
            </w:r>
            <w:proofErr w:type="spellEnd"/>
            <w:r w:rsidRPr="009C0599">
              <w:rPr>
                <w:sz w:val="20"/>
                <w:szCs w:val="20"/>
              </w:rPr>
              <w:t xml:space="preserve"> of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configured</w:t>
            </w:r>
            <w:proofErr w:type="spellEnd"/>
            <w:r w:rsidRPr="009C0599">
              <w:rPr>
                <w:sz w:val="20"/>
                <w:szCs w:val="20"/>
              </w:rPr>
              <w:t xml:space="preserve"> </w:t>
            </w:r>
            <w:proofErr w:type="spellStart"/>
            <w:r w:rsidRPr="009C0599">
              <w:rPr>
                <w:sz w:val="20"/>
                <w:szCs w:val="20"/>
              </w:rPr>
              <w:t>grant</w:t>
            </w:r>
            <w:proofErr w:type="spellEnd"/>
            <w:r w:rsidRPr="009C0599">
              <w:rPr>
                <w:sz w:val="20"/>
                <w:szCs w:val="20"/>
              </w:rPr>
              <w:t xml:space="preserve"> type1 </w:t>
            </w:r>
            <w:proofErr w:type="spellStart"/>
            <w:r w:rsidRPr="009C0599">
              <w:rPr>
                <w:sz w:val="20"/>
                <w:szCs w:val="20"/>
              </w:rPr>
              <w:t>resources</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in UL for INACTIVE </w:t>
            </w:r>
            <w:proofErr w:type="spellStart"/>
            <w:r w:rsidRPr="009C0599">
              <w:rPr>
                <w:sz w:val="20"/>
                <w:szCs w:val="20"/>
              </w:rPr>
              <w:t>state</w:t>
            </w:r>
            <w:proofErr w:type="spellEnd"/>
            <w:r w:rsidRPr="009C0599">
              <w:rPr>
                <w:sz w:val="20"/>
                <w:szCs w:val="20"/>
              </w:rPr>
              <w:t xml:space="preserve"> [RAN2]</w:t>
            </w:r>
          </w:p>
          <w:p w14:paraId="27D29E8E" w14:textId="77777777" w:rsidR="009C0599" w:rsidRPr="009C0599" w:rsidRDefault="009C0599" w:rsidP="009C0599">
            <w:pPr>
              <w:pStyle w:val="ListParagraph"/>
              <w:widowControl w:val="0"/>
              <w:numPr>
                <w:ilvl w:val="1"/>
                <w:numId w:val="29"/>
              </w:numPr>
              <w:spacing w:line="259" w:lineRule="auto"/>
              <w:ind w:left="644"/>
              <w:contextualSpacing w:val="0"/>
              <w:jc w:val="both"/>
              <w:rPr>
                <w:sz w:val="20"/>
                <w:szCs w:val="20"/>
              </w:rPr>
            </w:pPr>
            <w:proofErr w:type="spellStart"/>
            <w:r w:rsidRPr="009C0599">
              <w:rPr>
                <w:sz w:val="20"/>
                <w:szCs w:val="20"/>
              </w:rPr>
              <w:t>Specify</w:t>
            </w:r>
            <w:proofErr w:type="spellEnd"/>
            <w:r w:rsidRPr="009C0599">
              <w:rPr>
                <w:sz w:val="20"/>
                <w:szCs w:val="20"/>
              </w:rPr>
              <w:t xml:space="preserve"> RRM </w:t>
            </w:r>
            <w:proofErr w:type="spellStart"/>
            <w:r w:rsidRPr="009C0599">
              <w:rPr>
                <w:sz w:val="20"/>
                <w:szCs w:val="20"/>
              </w:rPr>
              <w:t>core</w:t>
            </w:r>
            <w:proofErr w:type="spellEnd"/>
            <w:r w:rsidRPr="009C0599">
              <w:rPr>
                <w:sz w:val="20"/>
                <w:szCs w:val="20"/>
              </w:rPr>
              <w:t xml:space="preserve"> </w:t>
            </w:r>
            <w:proofErr w:type="spellStart"/>
            <w:r w:rsidRPr="009C0599">
              <w:rPr>
                <w:sz w:val="20"/>
                <w:szCs w:val="20"/>
              </w:rPr>
              <w:t>requirements</w:t>
            </w:r>
            <w:proofErr w:type="spellEnd"/>
            <w:r w:rsidRPr="009C0599">
              <w:rPr>
                <w:sz w:val="20"/>
                <w:szCs w:val="20"/>
              </w:rPr>
              <w:t xml:space="preserve"> for </w:t>
            </w:r>
            <w:proofErr w:type="spellStart"/>
            <w:r w:rsidRPr="009C0599">
              <w:rPr>
                <w:sz w:val="20"/>
                <w:szCs w:val="20"/>
              </w:rPr>
              <w:t>small</w:t>
            </w:r>
            <w:proofErr w:type="spellEnd"/>
            <w:r w:rsidRPr="009C0599">
              <w:rPr>
                <w:sz w:val="20"/>
                <w:szCs w:val="20"/>
              </w:rPr>
              <w:t xml:space="preserve"> data transmission in RRC_INACTIVE, </w:t>
            </w:r>
            <w:proofErr w:type="spellStart"/>
            <w:r w:rsidRPr="009C0599">
              <w:rPr>
                <w:sz w:val="20"/>
                <w:szCs w:val="20"/>
              </w:rPr>
              <w:t>if</w:t>
            </w:r>
            <w:proofErr w:type="spellEnd"/>
            <w:r w:rsidRPr="009C0599">
              <w:rPr>
                <w:sz w:val="20"/>
                <w:szCs w:val="20"/>
              </w:rPr>
              <w:t xml:space="preserve"> </w:t>
            </w:r>
            <w:proofErr w:type="spellStart"/>
            <w:r w:rsidRPr="009C0599">
              <w:rPr>
                <w:sz w:val="20"/>
                <w:szCs w:val="20"/>
              </w:rPr>
              <w:t>needed</w:t>
            </w:r>
            <w:proofErr w:type="spellEnd"/>
            <w:r w:rsidRPr="009C0599">
              <w:rPr>
                <w:sz w:val="20"/>
                <w:szCs w:val="20"/>
              </w:rPr>
              <w:t xml:space="preserve"> [RAN4]</w:t>
            </w:r>
          </w:p>
          <w:p w14:paraId="362A9164" w14:textId="77777777" w:rsidR="009C0599" w:rsidRDefault="009C0599" w:rsidP="009C0599">
            <w:pPr>
              <w:pStyle w:val="ListParagraph"/>
              <w:widowControl w:val="0"/>
              <w:spacing w:before="240" w:line="259" w:lineRule="auto"/>
              <w:ind w:left="0"/>
              <w:contextualSpacing w:val="0"/>
              <w:rPr>
                <w:sz w:val="20"/>
                <w:szCs w:val="20"/>
              </w:rPr>
            </w:pPr>
            <w:r w:rsidRPr="009C0599">
              <w:rPr>
                <w:sz w:val="20"/>
                <w:szCs w:val="20"/>
              </w:rPr>
              <w:t xml:space="preserve">No </w:t>
            </w:r>
            <w:proofErr w:type="spellStart"/>
            <w:r w:rsidRPr="009C0599">
              <w:rPr>
                <w:sz w:val="20"/>
                <w:szCs w:val="20"/>
              </w:rPr>
              <w:t>new</w:t>
            </w:r>
            <w:proofErr w:type="spellEnd"/>
            <w:r w:rsidRPr="009C0599">
              <w:rPr>
                <w:sz w:val="20"/>
                <w:szCs w:val="20"/>
              </w:rPr>
              <w:t xml:space="preserve"> RRC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introduced</w:t>
            </w:r>
            <w:proofErr w:type="spellEnd"/>
            <w:r w:rsidRPr="009C0599">
              <w:rPr>
                <w:sz w:val="20"/>
                <w:szCs w:val="20"/>
              </w:rPr>
              <w:t xml:space="preserve"> in </w:t>
            </w:r>
            <w:proofErr w:type="spellStart"/>
            <w:r w:rsidRPr="009C0599">
              <w:rPr>
                <w:sz w:val="20"/>
                <w:szCs w:val="20"/>
              </w:rPr>
              <w:t>this</w:t>
            </w:r>
            <w:proofErr w:type="spellEnd"/>
            <w:r w:rsidRPr="009C0599">
              <w:rPr>
                <w:sz w:val="20"/>
                <w:szCs w:val="20"/>
              </w:rPr>
              <w:t xml:space="preserve"> WID. Transmission of </w:t>
            </w:r>
            <w:proofErr w:type="spellStart"/>
            <w:r w:rsidRPr="009C0599">
              <w:rPr>
                <w:sz w:val="20"/>
                <w:szCs w:val="20"/>
              </w:rPr>
              <w:t>smalldata</w:t>
            </w:r>
            <w:proofErr w:type="spellEnd"/>
            <w:r w:rsidRPr="009C0599">
              <w:rPr>
                <w:sz w:val="20"/>
                <w:szCs w:val="20"/>
              </w:rPr>
              <w:t xml:space="preserve"> in UL, </w:t>
            </w:r>
            <w:proofErr w:type="spellStart"/>
            <w:r w:rsidRPr="009C0599">
              <w:rPr>
                <w:sz w:val="20"/>
                <w:szCs w:val="20"/>
              </w:rPr>
              <w:t>subsequent</w:t>
            </w:r>
            <w:proofErr w:type="spellEnd"/>
            <w:r w:rsidRPr="009C0599">
              <w:rPr>
                <w:sz w:val="20"/>
                <w:szCs w:val="20"/>
              </w:rPr>
              <w:t xml:space="preserve"> transmission of </w:t>
            </w:r>
            <w:proofErr w:type="spellStart"/>
            <w:r w:rsidRPr="009C0599">
              <w:rPr>
                <w:sz w:val="20"/>
                <w:szCs w:val="20"/>
              </w:rPr>
              <w:t>smalldata</w:t>
            </w:r>
            <w:proofErr w:type="spellEnd"/>
            <w:r w:rsidRPr="009C0599">
              <w:rPr>
                <w:sz w:val="20"/>
                <w:szCs w:val="20"/>
              </w:rPr>
              <w:t xml:space="preserve"> in UL and DL and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state</w:t>
            </w:r>
            <w:proofErr w:type="spellEnd"/>
            <w:r w:rsidRPr="009C0599">
              <w:rPr>
                <w:sz w:val="20"/>
                <w:szCs w:val="20"/>
              </w:rPr>
              <w:t xml:space="preserve"> </w:t>
            </w:r>
            <w:proofErr w:type="spellStart"/>
            <w:r w:rsidRPr="009C0599">
              <w:rPr>
                <w:sz w:val="20"/>
                <w:szCs w:val="20"/>
              </w:rPr>
              <w:t>transition</w:t>
            </w:r>
            <w:proofErr w:type="spellEnd"/>
            <w:r w:rsidRPr="009C0599">
              <w:rPr>
                <w:sz w:val="20"/>
                <w:szCs w:val="20"/>
              </w:rPr>
              <w:t xml:space="preserve"> </w:t>
            </w:r>
            <w:proofErr w:type="spellStart"/>
            <w:r w:rsidRPr="009C0599">
              <w:rPr>
                <w:sz w:val="20"/>
                <w:szCs w:val="20"/>
              </w:rPr>
              <w:t>decisions</w:t>
            </w:r>
            <w:proofErr w:type="spellEnd"/>
            <w:r w:rsidRPr="009C0599">
              <w:rPr>
                <w:sz w:val="20"/>
                <w:szCs w:val="20"/>
              </w:rPr>
              <w:t xml:space="preserve">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under</w:t>
            </w:r>
            <w:proofErr w:type="spellEnd"/>
            <w:r w:rsidRPr="009C0599">
              <w:rPr>
                <w:sz w:val="20"/>
                <w:szCs w:val="20"/>
              </w:rPr>
              <w:t xml:space="preserve"> </w:t>
            </w:r>
            <w:proofErr w:type="spellStart"/>
            <w:r w:rsidRPr="009C0599">
              <w:rPr>
                <w:sz w:val="20"/>
                <w:szCs w:val="20"/>
              </w:rPr>
              <w:t>network</w:t>
            </w:r>
            <w:proofErr w:type="spellEnd"/>
            <w:r w:rsidRPr="009C0599">
              <w:rPr>
                <w:sz w:val="20"/>
                <w:szCs w:val="20"/>
              </w:rPr>
              <w:t xml:space="preserve"> </w:t>
            </w:r>
            <w:proofErr w:type="spellStart"/>
            <w:r w:rsidRPr="009C0599">
              <w:rPr>
                <w:sz w:val="20"/>
                <w:szCs w:val="20"/>
              </w:rPr>
              <w:t>control</w:t>
            </w:r>
            <w:proofErr w:type="spellEnd"/>
            <w:r w:rsidRPr="009C0599">
              <w:rPr>
                <w:sz w:val="20"/>
                <w:szCs w:val="20"/>
              </w:rPr>
              <w:t>.</w:t>
            </w:r>
          </w:p>
          <w:p w14:paraId="64BD0E69" w14:textId="32BDCB3C" w:rsidR="009C0599" w:rsidRPr="009C0599" w:rsidRDefault="009C0599" w:rsidP="009C0599">
            <w:pPr>
              <w:pStyle w:val="ListParagraph"/>
              <w:widowControl w:val="0"/>
              <w:spacing w:before="240" w:line="259" w:lineRule="auto"/>
              <w:ind w:left="0"/>
              <w:contextualSpacing w:val="0"/>
              <w:rPr>
                <w:sz w:val="20"/>
                <w:szCs w:val="20"/>
              </w:rPr>
            </w:pPr>
            <w:r w:rsidRPr="009C0599">
              <w:rPr>
                <w:sz w:val="20"/>
                <w:szCs w:val="20"/>
              </w:rPr>
              <w:t xml:space="preserve">Focus of </w:t>
            </w:r>
            <w:proofErr w:type="spellStart"/>
            <w:r w:rsidRPr="009C0599">
              <w:rPr>
                <w:sz w:val="20"/>
                <w:szCs w:val="20"/>
              </w:rPr>
              <w:t>the</w:t>
            </w:r>
            <w:proofErr w:type="spellEnd"/>
            <w:r w:rsidRPr="009C0599">
              <w:rPr>
                <w:sz w:val="20"/>
                <w:szCs w:val="20"/>
              </w:rPr>
              <w:t xml:space="preserve"> WID </w:t>
            </w:r>
            <w:proofErr w:type="spellStart"/>
            <w:r w:rsidRPr="009C0599">
              <w:rPr>
                <w:sz w:val="20"/>
                <w:szCs w:val="20"/>
              </w:rPr>
              <w:t>should</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on </w:t>
            </w:r>
            <w:proofErr w:type="spellStart"/>
            <w:r w:rsidRPr="009C0599">
              <w:rPr>
                <w:sz w:val="20"/>
                <w:szCs w:val="20"/>
              </w:rPr>
              <w:t>licensed</w:t>
            </w:r>
            <w:proofErr w:type="spellEnd"/>
            <w:r w:rsidRPr="009C0599">
              <w:rPr>
                <w:sz w:val="20"/>
                <w:szCs w:val="20"/>
              </w:rPr>
              <w:t xml:space="preserve"> </w:t>
            </w:r>
            <w:proofErr w:type="spellStart"/>
            <w:r w:rsidRPr="009C0599">
              <w:rPr>
                <w:sz w:val="20"/>
                <w:szCs w:val="20"/>
              </w:rPr>
              <w:t>carriers</w:t>
            </w:r>
            <w:proofErr w:type="spellEnd"/>
            <w:r w:rsidRPr="009C0599">
              <w:rPr>
                <w:sz w:val="20"/>
                <w:szCs w:val="20"/>
              </w:rPr>
              <w:t xml:space="preserve"> and </w:t>
            </w:r>
            <w:proofErr w:type="spellStart"/>
            <w:r w:rsidRPr="009C0599">
              <w:rPr>
                <w:sz w:val="20"/>
                <w:szCs w:val="20"/>
              </w:rPr>
              <w:t>the</w:t>
            </w:r>
            <w:proofErr w:type="spellEnd"/>
            <w:r w:rsidRPr="009C0599">
              <w:rPr>
                <w:sz w:val="20"/>
                <w:szCs w:val="20"/>
              </w:rPr>
              <w:t xml:space="preserve"> </w:t>
            </w:r>
            <w:proofErr w:type="spellStart"/>
            <w:r w:rsidRPr="009C0599">
              <w:rPr>
                <w:sz w:val="20"/>
                <w:szCs w:val="20"/>
              </w:rPr>
              <w:t>solutions</w:t>
            </w:r>
            <w:proofErr w:type="spellEnd"/>
            <w:r w:rsidRPr="009C0599">
              <w:rPr>
                <w:sz w:val="20"/>
                <w:szCs w:val="20"/>
              </w:rPr>
              <w:t xml:space="preserve"> </w:t>
            </w:r>
            <w:proofErr w:type="spellStart"/>
            <w:r w:rsidRPr="009C0599">
              <w:rPr>
                <w:sz w:val="20"/>
                <w:szCs w:val="20"/>
              </w:rPr>
              <w:t>can</w:t>
            </w:r>
            <w:proofErr w:type="spellEnd"/>
            <w:r w:rsidRPr="009C0599">
              <w:rPr>
                <w:sz w:val="20"/>
                <w:szCs w:val="20"/>
              </w:rPr>
              <w:t xml:space="preserve"> </w:t>
            </w:r>
            <w:proofErr w:type="spellStart"/>
            <w:r w:rsidRPr="009C0599">
              <w:rPr>
                <w:sz w:val="20"/>
                <w:szCs w:val="20"/>
              </w:rPr>
              <w:t>be</w:t>
            </w:r>
            <w:proofErr w:type="spellEnd"/>
            <w:r w:rsidRPr="009C0599">
              <w:rPr>
                <w:sz w:val="20"/>
                <w:szCs w:val="20"/>
              </w:rPr>
              <w:t xml:space="preserve"> </w:t>
            </w:r>
            <w:proofErr w:type="spellStart"/>
            <w:r w:rsidRPr="009C0599">
              <w:rPr>
                <w:sz w:val="20"/>
                <w:szCs w:val="20"/>
              </w:rPr>
              <w:t>reused</w:t>
            </w:r>
            <w:proofErr w:type="spellEnd"/>
            <w:r w:rsidRPr="009C0599">
              <w:rPr>
                <w:sz w:val="20"/>
                <w:szCs w:val="20"/>
              </w:rPr>
              <w:t xml:space="preserve"> for NR-U </w:t>
            </w:r>
            <w:proofErr w:type="spellStart"/>
            <w:r w:rsidRPr="009C0599">
              <w:rPr>
                <w:sz w:val="20"/>
                <w:szCs w:val="20"/>
              </w:rPr>
              <w:t>if</w:t>
            </w:r>
            <w:proofErr w:type="spellEnd"/>
            <w:r w:rsidRPr="009C0599">
              <w:rPr>
                <w:sz w:val="20"/>
                <w:szCs w:val="20"/>
              </w:rPr>
              <w:t xml:space="preserve"> </w:t>
            </w:r>
            <w:proofErr w:type="spellStart"/>
            <w:r w:rsidRPr="009C0599">
              <w:rPr>
                <w:sz w:val="20"/>
                <w:szCs w:val="20"/>
              </w:rPr>
              <w:t>applicable</w:t>
            </w:r>
            <w:proofErr w:type="spellEnd"/>
            <w:r w:rsidRPr="009C0599">
              <w:rPr>
                <w:sz w:val="20"/>
                <w:szCs w:val="20"/>
              </w:rPr>
              <w:t>.</w:t>
            </w:r>
          </w:p>
          <w:p w14:paraId="27594475" w14:textId="5CE1FD3E" w:rsidR="009C0599" w:rsidRPr="009C0599" w:rsidRDefault="009C0599" w:rsidP="009C0599">
            <w:pPr>
              <w:pStyle w:val="ListParagraph"/>
              <w:widowControl w:val="0"/>
              <w:spacing w:before="240" w:line="259" w:lineRule="auto"/>
              <w:ind w:left="0"/>
              <w:contextualSpacing w:val="0"/>
              <w:rPr>
                <w:sz w:val="20"/>
                <w:szCs w:val="20"/>
              </w:rPr>
            </w:pPr>
            <w:proofErr w:type="spellStart"/>
            <w:r w:rsidRPr="009C0599">
              <w:rPr>
                <w:color w:val="FF0000"/>
                <w:sz w:val="20"/>
                <w:szCs w:val="20"/>
              </w:rPr>
              <w:t>Note</w:t>
            </w:r>
            <w:proofErr w:type="spellEnd"/>
            <w:r w:rsidRPr="009C0599">
              <w:rPr>
                <w:color w:val="FF0000"/>
                <w:sz w:val="20"/>
                <w:szCs w:val="20"/>
              </w:rPr>
              <w:t xml:space="preserve"> 2: </w:t>
            </w:r>
            <w:proofErr w:type="spellStart"/>
            <w:r w:rsidRPr="009C0599">
              <w:rPr>
                <w:color w:val="FF0000"/>
                <w:sz w:val="20"/>
                <w:szCs w:val="20"/>
              </w:rPr>
              <w:t>Any</w:t>
            </w:r>
            <w:proofErr w:type="spellEnd"/>
            <w:r w:rsidRPr="009C0599">
              <w:rPr>
                <w:color w:val="FF0000"/>
                <w:sz w:val="20"/>
                <w:szCs w:val="20"/>
              </w:rPr>
              <w:t xml:space="preserve"> </w:t>
            </w:r>
            <w:proofErr w:type="spellStart"/>
            <w:r w:rsidRPr="009C0599">
              <w:rPr>
                <w:color w:val="FF0000"/>
                <w:sz w:val="20"/>
                <w:szCs w:val="20"/>
              </w:rPr>
              <w:t>associated</w:t>
            </w:r>
            <w:proofErr w:type="spellEnd"/>
            <w:r w:rsidRPr="009C0599">
              <w:rPr>
                <w:color w:val="FF0000"/>
                <w:sz w:val="20"/>
                <w:szCs w:val="20"/>
              </w:rPr>
              <w:t xml:space="preserve"> </w:t>
            </w:r>
            <w:proofErr w:type="spellStart"/>
            <w:r w:rsidRPr="009C0599">
              <w:rPr>
                <w:color w:val="FF0000"/>
                <w:sz w:val="20"/>
                <w:szCs w:val="20"/>
              </w:rPr>
              <w:t>specification</w:t>
            </w:r>
            <w:proofErr w:type="spellEnd"/>
            <w:r w:rsidRPr="009C0599">
              <w:rPr>
                <w:color w:val="FF0000"/>
                <w:sz w:val="20"/>
                <w:szCs w:val="20"/>
              </w:rPr>
              <w:t xml:space="preserve"> </w:t>
            </w:r>
            <w:proofErr w:type="spellStart"/>
            <w:r w:rsidRPr="009C0599">
              <w:rPr>
                <w:color w:val="FF0000"/>
                <w:sz w:val="20"/>
                <w:szCs w:val="20"/>
              </w:rPr>
              <w:t>work</w:t>
            </w:r>
            <w:proofErr w:type="spellEnd"/>
            <w:r w:rsidRPr="009C0599">
              <w:rPr>
                <w:color w:val="FF0000"/>
                <w:sz w:val="20"/>
                <w:szCs w:val="20"/>
              </w:rPr>
              <w:t xml:space="preserve"> in RAN1 </w:t>
            </w:r>
            <w:proofErr w:type="spellStart"/>
            <w:r w:rsidRPr="009C0599">
              <w:rPr>
                <w:color w:val="FF0000"/>
                <w:sz w:val="20"/>
                <w:szCs w:val="20"/>
              </w:rPr>
              <w:t>that</w:t>
            </w:r>
            <w:proofErr w:type="spellEnd"/>
            <w:r w:rsidRPr="009C0599">
              <w:rPr>
                <w:color w:val="FF0000"/>
                <w:sz w:val="20"/>
                <w:szCs w:val="20"/>
              </w:rPr>
              <w:t xml:space="preserve"> is </w:t>
            </w:r>
            <w:proofErr w:type="spellStart"/>
            <w:r w:rsidRPr="009C0599">
              <w:rPr>
                <w:color w:val="FF0000"/>
                <w:sz w:val="20"/>
                <w:szCs w:val="20"/>
              </w:rPr>
              <w:t>needed</w:t>
            </w:r>
            <w:proofErr w:type="spellEnd"/>
            <w:r w:rsidRPr="009C0599">
              <w:rPr>
                <w:color w:val="FF0000"/>
                <w:sz w:val="20"/>
                <w:szCs w:val="20"/>
              </w:rPr>
              <w:t xml:space="preserve"> to </w:t>
            </w:r>
            <w:proofErr w:type="spellStart"/>
            <w:r w:rsidRPr="009C0599">
              <w:rPr>
                <w:color w:val="FF0000"/>
                <w:sz w:val="20"/>
                <w:szCs w:val="20"/>
              </w:rPr>
              <w:t>support</w:t>
            </w:r>
            <w:proofErr w:type="spellEnd"/>
            <w:r w:rsidRPr="009C0599">
              <w:rPr>
                <w:color w:val="FF0000"/>
                <w:sz w:val="20"/>
                <w:szCs w:val="20"/>
              </w:rPr>
              <w:t xml:space="preserve"> </w:t>
            </w:r>
            <w:proofErr w:type="spellStart"/>
            <w:r w:rsidRPr="009C0599">
              <w:rPr>
                <w:color w:val="FF0000"/>
                <w:sz w:val="20"/>
                <w:szCs w:val="20"/>
              </w:rPr>
              <w:t>the</w:t>
            </w:r>
            <w:proofErr w:type="spellEnd"/>
            <w:r w:rsidRPr="009C0599">
              <w:rPr>
                <w:color w:val="FF0000"/>
                <w:sz w:val="20"/>
                <w:szCs w:val="20"/>
              </w:rPr>
              <w:t xml:space="preserve"> </w:t>
            </w:r>
            <w:proofErr w:type="spellStart"/>
            <w:r w:rsidRPr="009C0599">
              <w:rPr>
                <w:color w:val="FF0000"/>
                <w:sz w:val="20"/>
                <w:szCs w:val="20"/>
              </w:rPr>
              <w:t>above</w:t>
            </w:r>
            <w:proofErr w:type="spellEnd"/>
            <w:r w:rsidRPr="009C0599">
              <w:rPr>
                <w:color w:val="FF0000"/>
                <w:sz w:val="20"/>
                <w:szCs w:val="20"/>
              </w:rPr>
              <w:t xml:space="preserve"> set of </w:t>
            </w:r>
            <w:proofErr w:type="spellStart"/>
            <w:r w:rsidRPr="009C0599">
              <w:rPr>
                <w:color w:val="FF0000"/>
                <w:sz w:val="20"/>
                <w:szCs w:val="20"/>
              </w:rPr>
              <w:t>objectives</w:t>
            </w:r>
            <w:proofErr w:type="spellEnd"/>
            <w:r w:rsidRPr="009C0599">
              <w:rPr>
                <w:color w:val="FF0000"/>
                <w:sz w:val="20"/>
                <w:szCs w:val="20"/>
              </w:rPr>
              <w:t xml:space="preserve"> </w:t>
            </w:r>
            <w:proofErr w:type="spellStart"/>
            <w:r w:rsidRPr="009C0599">
              <w:rPr>
                <w:color w:val="FF0000"/>
                <w:sz w:val="20"/>
                <w:szCs w:val="20"/>
              </w:rPr>
              <w:t>should</w:t>
            </w:r>
            <w:proofErr w:type="spellEnd"/>
            <w:r w:rsidRPr="009C0599">
              <w:rPr>
                <w:color w:val="FF0000"/>
                <w:sz w:val="20"/>
                <w:szCs w:val="20"/>
              </w:rPr>
              <w:t xml:space="preserve"> </w:t>
            </w:r>
            <w:proofErr w:type="spellStart"/>
            <w:r w:rsidRPr="009C0599">
              <w:rPr>
                <w:color w:val="FF0000"/>
                <w:sz w:val="20"/>
                <w:szCs w:val="20"/>
              </w:rPr>
              <w:t>be</w:t>
            </w:r>
            <w:proofErr w:type="spellEnd"/>
            <w:r w:rsidRPr="009C0599">
              <w:rPr>
                <w:color w:val="FF0000"/>
                <w:sz w:val="20"/>
                <w:szCs w:val="20"/>
              </w:rPr>
              <w:t xml:space="preserve"> </w:t>
            </w:r>
            <w:proofErr w:type="spellStart"/>
            <w:r w:rsidRPr="009C0599">
              <w:rPr>
                <w:color w:val="FF0000"/>
                <w:sz w:val="20"/>
                <w:szCs w:val="20"/>
              </w:rPr>
              <w:t>initiated</w:t>
            </w:r>
            <w:proofErr w:type="spellEnd"/>
            <w:r w:rsidRPr="009C0599">
              <w:rPr>
                <w:color w:val="FF0000"/>
                <w:sz w:val="20"/>
                <w:szCs w:val="20"/>
              </w:rPr>
              <w:t xml:space="preserve"> </w:t>
            </w:r>
            <w:proofErr w:type="spellStart"/>
            <w:r w:rsidRPr="009C0599">
              <w:rPr>
                <w:color w:val="FF0000"/>
                <w:sz w:val="20"/>
                <w:szCs w:val="20"/>
              </w:rPr>
              <w:t>by</w:t>
            </w:r>
            <w:proofErr w:type="spellEnd"/>
            <w:r w:rsidRPr="009C0599">
              <w:rPr>
                <w:color w:val="FF0000"/>
                <w:sz w:val="20"/>
                <w:szCs w:val="20"/>
              </w:rPr>
              <w:t xml:space="preserve"> RAN2 via an LS.</w:t>
            </w:r>
            <w:r w:rsidRPr="009C0599">
              <w:rPr>
                <w:color w:val="FF0000"/>
              </w:rPr>
              <w:t xml:space="preserve"> </w:t>
            </w:r>
          </w:p>
        </w:tc>
      </w:tr>
    </w:tbl>
    <w:p w14:paraId="2987BBDC" w14:textId="368844D4" w:rsidR="009C0599" w:rsidRDefault="009C0599" w:rsidP="00A64A6E"/>
    <w:p w14:paraId="24C546CB" w14:textId="27112C96" w:rsidR="009C0599" w:rsidRDefault="009C0599" w:rsidP="00A64A6E">
      <w:r>
        <w:t>RAN1#104 is receiving the LS the WID mentions, sent from November RAN2#112e with the following actions [1]:</w:t>
      </w:r>
    </w:p>
    <w:tbl>
      <w:tblPr>
        <w:tblStyle w:val="TableGrid"/>
        <w:tblW w:w="0" w:type="auto"/>
        <w:tblLook w:val="04A0" w:firstRow="1" w:lastRow="0" w:firstColumn="1" w:lastColumn="0" w:noHBand="0" w:noVBand="1"/>
      </w:tblPr>
      <w:tblGrid>
        <w:gridCol w:w="9629"/>
      </w:tblGrid>
      <w:tr w:rsidR="009C0599" w14:paraId="2C6D0C4C" w14:textId="77777777" w:rsidTr="009C0599">
        <w:tc>
          <w:tcPr>
            <w:tcW w:w="9629" w:type="dxa"/>
          </w:tcPr>
          <w:p w14:paraId="7AB0E510" w14:textId="77777777" w:rsidR="009C0599" w:rsidRPr="000A0AAC" w:rsidRDefault="009C0599" w:rsidP="009C0599">
            <w:pPr>
              <w:spacing w:after="120"/>
              <w:ind w:left="993" w:hanging="993"/>
              <w:rPr>
                <w:rFonts w:ascii="Arial" w:hAnsi="Arial" w:cs="Arial"/>
              </w:rPr>
            </w:pPr>
            <w:r w:rsidRPr="000A0AAC">
              <w:rPr>
                <w:rFonts w:ascii="Arial" w:hAnsi="Arial" w:cs="Arial"/>
                <w:b/>
              </w:rPr>
              <w:t xml:space="preserve">ACTION: </w:t>
            </w:r>
            <w:r w:rsidRPr="000A0AAC">
              <w:rPr>
                <w:rFonts w:ascii="Arial" w:hAnsi="Arial" w:cs="Arial"/>
                <w:b/>
              </w:rPr>
              <w:tab/>
            </w:r>
            <w:r w:rsidRPr="000A0AAC">
              <w:rPr>
                <w:rFonts w:ascii="Arial" w:hAnsi="Arial" w:cs="Arial"/>
              </w:rPr>
              <w:t xml:space="preserve">RAN2 respectfully requests RAN1 to take the above into account and provide input for: </w:t>
            </w:r>
          </w:p>
          <w:p w14:paraId="6F5081A8" w14:textId="77777777" w:rsidR="009C0599" w:rsidRPr="000A0AAC" w:rsidRDefault="009C0599" w:rsidP="009C0599">
            <w:pPr>
              <w:pStyle w:val="ListParagraph"/>
              <w:numPr>
                <w:ilvl w:val="0"/>
                <w:numId w:val="28"/>
              </w:numPr>
              <w:spacing w:after="120"/>
              <w:rPr>
                <w:rFonts w:ascii="Arial" w:hAnsi="Arial" w:cs="Arial"/>
                <w:bCs/>
                <w:sz w:val="20"/>
                <w:szCs w:val="20"/>
              </w:rPr>
            </w:pPr>
            <w:proofErr w:type="spellStart"/>
            <w:r w:rsidRPr="000A0AAC">
              <w:rPr>
                <w:rFonts w:ascii="Arial" w:hAnsi="Arial" w:cs="Arial"/>
                <w:bCs/>
                <w:sz w:val="20"/>
                <w:szCs w:val="20"/>
              </w:rPr>
              <w:t>Configuration</w:t>
            </w:r>
            <w:proofErr w:type="spellEnd"/>
            <w:r w:rsidRPr="000A0AAC">
              <w:rPr>
                <w:rFonts w:ascii="Arial" w:hAnsi="Arial" w:cs="Arial"/>
                <w:bCs/>
                <w:sz w:val="20"/>
                <w:szCs w:val="20"/>
              </w:rPr>
              <w:t xml:space="preserve"> of </w:t>
            </w:r>
            <w:proofErr w:type="spellStart"/>
            <w:r w:rsidRPr="000A0AAC">
              <w:rPr>
                <w:rFonts w:ascii="Arial" w:hAnsi="Arial" w:cs="Arial"/>
                <w:bCs/>
                <w:sz w:val="20"/>
                <w:szCs w:val="20"/>
              </w:rPr>
              <w:t>the</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coreset</w:t>
            </w:r>
            <w:proofErr w:type="spellEnd"/>
            <w:r w:rsidRPr="000A0AAC">
              <w:rPr>
                <w:rFonts w:ascii="Arial" w:hAnsi="Arial" w:cs="Arial"/>
                <w:bCs/>
                <w:sz w:val="20"/>
                <w:szCs w:val="20"/>
              </w:rPr>
              <w:t xml:space="preserve"> and </w:t>
            </w:r>
            <w:proofErr w:type="spellStart"/>
            <w:r w:rsidRPr="000A0AAC">
              <w:rPr>
                <w:rFonts w:ascii="Arial" w:hAnsi="Arial" w:cs="Arial"/>
                <w:bCs/>
                <w:sz w:val="20"/>
                <w:szCs w:val="20"/>
              </w:rPr>
              <w:t>search</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space</w:t>
            </w:r>
            <w:proofErr w:type="spellEnd"/>
            <w:r w:rsidRPr="000A0AAC">
              <w:rPr>
                <w:rFonts w:ascii="Arial" w:hAnsi="Arial" w:cs="Arial"/>
                <w:bCs/>
                <w:sz w:val="20"/>
                <w:szCs w:val="20"/>
              </w:rPr>
              <w:t xml:space="preserve"> for </w:t>
            </w:r>
            <w:proofErr w:type="spellStart"/>
            <w:r w:rsidRPr="000A0AAC">
              <w:rPr>
                <w:rFonts w:ascii="Arial" w:hAnsi="Arial" w:cs="Arial"/>
                <w:bCs/>
                <w:sz w:val="20"/>
                <w:szCs w:val="20"/>
              </w:rPr>
              <w:t>monitoring</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the</w:t>
            </w:r>
            <w:proofErr w:type="spellEnd"/>
            <w:r w:rsidRPr="000A0AAC">
              <w:rPr>
                <w:rFonts w:ascii="Arial" w:hAnsi="Arial" w:cs="Arial"/>
                <w:bCs/>
                <w:sz w:val="20"/>
                <w:szCs w:val="20"/>
              </w:rPr>
              <w:t xml:space="preserve"> PDCCH </w:t>
            </w:r>
            <w:proofErr w:type="spellStart"/>
            <w:r w:rsidRPr="000A0AAC">
              <w:rPr>
                <w:rFonts w:ascii="Arial" w:hAnsi="Arial" w:cs="Arial"/>
                <w:bCs/>
                <w:sz w:val="20"/>
                <w:szCs w:val="20"/>
              </w:rPr>
              <w:t>addressed</w:t>
            </w:r>
            <w:proofErr w:type="spellEnd"/>
            <w:r w:rsidRPr="000A0AAC">
              <w:rPr>
                <w:rFonts w:ascii="Arial" w:hAnsi="Arial" w:cs="Arial"/>
                <w:bCs/>
                <w:sz w:val="20"/>
                <w:szCs w:val="20"/>
              </w:rPr>
              <w:t xml:space="preserve"> to </w:t>
            </w:r>
            <w:proofErr w:type="spellStart"/>
            <w:r w:rsidRPr="000A0AAC">
              <w:rPr>
                <w:rFonts w:ascii="Arial" w:hAnsi="Arial" w:cs="Arial"/>
                <w:bCs/>
                <w:sz w:val="20"/>
                <w:szCs w:val="20"/>
              </w:rPr>
              <w:t>the</w:t>
            </w:r>
            <w:proofErr w:type="spellEnd"/>
            <w:r w:rsidRPr="000A0AAC">
              <w:rPr>
                <w:rFonts w:ascii="Arial" w:hAnsi="Arial" w:cs="Arial"/>
                <w:bCs/>
                <w:sz w:val="20"/>
                <w:szCs w:val="20"/>
              </w:rPr>
              <w:t xml:space="preserve"> C-RNTI </w:t>
            </w:r>
            <w:proofErr w:type="spellStart"/>
            <w:r w:rsidRPr="000A0AAC">
              <w:rPr>
                <w:rFonts w:ascii="Arial" w:hAnsi="Arial" w:cs="Arial"/>
                <w:bCs/>
                <w:sz w:val="20"/>
                <w:szCs w:val="20"/>
              </w:rPr>
              <w:t>after</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successful</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completion</w:t>
            </w:r>
            <w:proofErr w:type="spellEnd"/>
            <w:r w:rsidRPr="000A0AAC">
              <w:rPr>
                <w:rFonts w:ascii="Arial" w:hAnsi="Arial" w:cs="Arial"/>
                <w:bCs/>
                <w:sz w:val="20"/>
                <w:szCs w:val="20"/>
              </w:rPr>
              <w:t xml:space="preserve"> of </w:t>
            </w:r>
            <w:proofErr w:type="spellStart"/>
            <w:r w:rsidRPr="000A0AAC">
              <w:rPr>
                <w:rFonts w:ascii="Arial" w:hAnsi="Arial" w:cs="Arial"/>
                <w:bCs/>
                <w:sz w:val="20"/>
                <w:szCs w:val="20"/>
              </w:rPr>
              <w:t>the</w:t>
            </w:r>
            <w:proofErr w:type="spellEnd"/>
            <w:r w:rsidRPr="000A0AAC">
              <w:rPr>
                <w:rFonts w:ascii="Arial" w:hAnsi="Arial" w:cs="Arial"/>
                <w:bCs/>
                <w:sz w:val="20"/>
                <w:szCs w:val="20"/>
              </w:rPr>
              <w:t xml:space="preserve"> RACH </w:t>
            </w:r>
            <w:proofErr w:type="spellStart"/>
            <w:r w:rsidRPr="000A0AAC">
              <w:rPr>
                <w:rFonts w:ascii="Arial" w:hAnsi="Arial" w:cs="Arial"/>
                <w:bCs/>
                <w:sz w:val="20"/>
                <w:szCs w:val="20"/>
              </w:rPr>
              <w:t>procedure</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during</w:t>
            </w:r>
            <w:proofErr w:type="spellEnd"/>
            <w:r w:rsidRPr="000A0AAC">
              <w:rPr>
                <w:rFonts w:ascii="Arial" w:hAnsi="Arial" w:cs="Arial"/>
                <w:bCs/>
                <w:sz w:val="20"/>
                <w:szCs w:val="20"/>
              </w:rPr>
              <w:t xml:space="preserve"> RA-SDT. </w:t>
            </w:r>
          </w:p>
          <w:p w14:paraId="0DF2888C" w14:textId="117A06D0" w:rsidR="009C0599" w:rsidRPr="009C0599" w:rsidRDefault="009C0599" w:rsidP="00A64A6E">
            <w:pPr>
              <w:pStyle w:val="ListParagraph"/>
              <w:numPr>
                <w:ilvl w:val="0"/>
                <w:numId w:val="28"/>
              </w:numPr>
              <w:spacing w:after="120"/>
              <w:rPr>
                <w:rFonts w:ascii="Arial" w:hAnsi="Arial" w:cs="Arial"/>
                <w:bCs/>
                <w:sz w:val="20"/>
                <w:szCs w:val="20"/>
              </w:rPr>
            </w:pPr>
            <w:bookmarkStart w:id="3" w:name="_Hlk59093079"/>
            <w:proofErr w:type="spellStart"/>
            <w:r w:rsidRPr="000A0AAC">
              <w:rPr>
                <w:rFonts w:ascii="Arial" w:hAnsi="Arial" w:cs="Arial"/>
                <w:bCs/>
                <w:sz w:val="20"/>
                <w:szCs w:val="20"/>
              </w:rPr>
              <w:t>Configuration</w:t>
            </w:r>
            <w:proofErr w:type="spellEnd"/>
            <w:r w:rsidRPr="000A0AAC">
              <w:rPr>
                <w:rFonts w:ascii="Arial" w:hAnsi="Arial" w:cs="Arial"/>
                <w:bCs/>
                <w:sz w:val="20"/>
                <w:szCs w:val="20"/>
              </w:rPr>
              <w:t xml:space="preserve"> of association </w:t>
            </w:r>
            <w:proofErr w:type="spellStart"/>
            <w:r w:rsidRPr="000A0AAC">
              <w:rPr>
                <w:rFonts w:ascii="Arial" w:hAnsi="Arial" w:cs="Arial"/>
                <w:bCs/>
                <w:sz w:val="20"/>
                <w:szCs w:val="20"/>
              </w:rPr>
              <w:t>between</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the</w:t>
            </w:r>
            <w:proofErr w:type="spellEnd"/>
            <w:r w:rsidRPr="000A0AAC">
              <w:rPr>
                <w:rFonts w:ascii="Arial" w:hAnsi="Arial" w:cs="Arial"/>
                <w:bCs/>
                <w:sz w:val="20"/>
                <w:szCs w:val="20"/>
              </w:rPr>
              <w:t xml:space="preserve"> </w:t>
            </w:r>
            <w:proofErr w:type="spellStart"/>
            <w:r w:rsidRPr="000A0AAC">
              <w:rPr>
                <w:rFonts w:ascii="Arial" w:hAnsi="Arial" w:cs="Arial"/>
                <w:bCs/>
                <w:sz w:val="20"/>
                <w:szCs w:val="20"/>
              </w:rPr>
              <w:t>type</w:t>
            </w:r>
            <w:proofErr w:type="spellEnd"/>
            <w:r w:rsidRPr="000A0AAC">
              <w:rPr>
                <w:rFonts w:ascii="Arial" w:hAnsi="Arial" w:cs="Arial"/>
                <w:bCs/>
                <w:sz w:val="20"/>
                <w:szCs w:val="20"/>
              </w:rPr>
              <w:t xml:space="preserve"> 1 CG </w:t>
            </w:r>
            <w:proofErr w:type="spellStart"/>
            <w:r w:rsidRPr="000A0AAC">
              <w:rPr>
                <w:rFonts w:ascii="Arial" w:hAnsi="Arial" w:cs="Arial"/>
                <w:bCs/>
                <w:sz w:val="20"/>
                <w:szCs w:val="20"/>
              </w:rPr>
              <w:t>resource</w:t>
            </w:r>
            <w:proofErr w:type="spellEnd"/>
            <w:r w:rsidRPr="000A0AAC">
              <w:rPr>
                <w:rFonts w:ascii="Arial" w:hAnsi="Arial" w:cs="Arial"/>
                <w:bCs/>
                <w:sz w:val="20"/>
                <w:szCs w:val="20"/>
              </w:rPr>
              <w:t>(s) for CG-SDT and SSB(s)</w:t>
            </w:r>
            <w:bookmarkEnd w:id="3"/>
          </w:p>
        </w:tc>
      </w:tr>
    </w:tbl>
    <w:p w14:paraId="58E83CEC" w14:textId="77777777" w:rsidR="009C0599" w:rsidRDefault="009C0599" w:rsidP="00A64A6E"/>
    <w:p w14:paraId="71230483" w14:textId="72F9C930" w:rsidR="00305297" w:rsidRDefault="007820D0" w:rsidP="00A23DCA">
      <w:pPr>
        <w:pStyle w:val="Heading1"/>
      </w:pPr>
      <w:r>
        <w:lastRenderedPageBreak/>
        <w:t>Discussion</w:t>
      </w:r>
    </w:p>
    <w:p w14:paraId="73A82122" w14:textId="11DA0F25" w:rsidR="001F201D" w:rsidRDefault="006D3D69" w:rsidP="00391019">
      <w:pPr>
        <w:pStyle w:val="Heading2"/>
      </w:pPr>
      <w:r w:rsidRPr="006D3D69">
        <w:t>Configuration of the coreset and search space</w:t>
      </w:r>
    </w:p>
    <w:p w14:paraId="61FAE58A" w14:textId="7FEDCC35" w:rsidR="006D3D69" w:rsidRDefault="006F4D11" w:rsidP="006D3D69">
      <w:r>
        <w:t>With regard to question on “</w:t>
      </w:r>
      <w:r w:rsidRPr="006F4D11">
        <w:rPr>
          <w:i/>
          <w:iCs/>
        </w:rPr>
        <w:t>Configuration of the coreset and search space for monitoring the PDCCH addressed to the C-RNTI after successful completion of the RACH procedure during RA-SDT</w:t>
      </w:r>
      <w:r>
        <w:t>”, RAN2 noted</w:t>
      </w:r>
      <w:r w:rsidR="009524E0">
        <w:t>:</w:t>
      </w:r>
    </w:p>
    <w:tbl>
      <w:tblPr>
        <w:tblStyle w:val="TableGrid"/>
        <w:tblW w:w="0" w:type="auto"/>
        <w:tblLook w:val="04A0" w:firstRow="1" w:lastRow="0" w:firstColumn="1" w:lastColumn="0" w:noHBand="0" w:noVBand="1"/>
      </w:tblPr>
      <w:tblGrid>
        <w:gridCol w:w="9629"/>
      </w:tblGrid>
      <w:tr w:rsidR="006F4D11" w14:paraId="09D1C00C" w14:textId="77777777" w:rsidTr="006F4D11">
        <w:tc>
          <w:tcPr>
            <w:tcW w:w="9629" w:type="dxa"/>
          </w:tcPr>
          <w:p w14:paraId="0C53E701" w14:textId="6A2122E7" w:rsidR="006F4D11" w:rsidRPr="006F4D11" w:rsidRDefault="006F4D11" w:rsidP="006F4D11">
            <w:pPr>
              <w:pStyle w:val="Header"/>
              <w:tabs>
                <w:tab w:val="left" w:pos="720"/>
              </w:tabs>
              <w:spacing w:after="120"/>
              <w:rPr>
                <w:rFonts w:cs="Arial"/>
                <w:b w:val="0"/>
                <w:bCs/>
                <w:lang w:val="en-GB"/>
              </w:rPr>
            </w:pPr>
            <w:r>
              <w:rPr>
                <w:rFonts w:cs="Arial"/>
                <w:b w:val="0"/>
                <w:bCs/>
              </w:rPr>
              <w:t>…</w:t>
            </w:r>
            <w:r w:rsidRPr="006F4D11">
              <w:rPr>
                <w:rFonts w:cs="Arial"/>
                <w:b w:val="0"/>
                <w:bCs/>
              </w:rPr>
              <w:t xml:space="preserve">RAN2 has agreed that the UE in RRC_INACTIVE should be able to send multiple UL and DL packets as part of the same SDT mechanism and </w:t>
            </w:r>
            <w:r w:rsidRPr="006F4D11">
              <w:rPr>
                <w:rFonts w:cs="Arial"/>
              </w:rPr>
              <w:t>the UE has to monitor the PDCCH addressed to the C-RNTI after successful completion of the RACH procedure during RA-SDT</w:t>
            </w:r>
            <w:r w:rsidRPr="006F4D11">
              <w:rPr>
                <w:rFonts w:cs="Arial"/>
                <w:b w:val="0"/>
                <w:bCs/>
              </w:rPr>
              <w:t xml:space="preserve">. RAN2 respectfully requests RAN1 to provide input on configuration of the coreset and search space for monitoring the PDCCH addressed to the C-RNTI in the above case. </w:t>
            </w:r>
          </w:p>
        </w:tc>
      </w:tr>
    </w:tbl>
    <w:p w14:paraId="0E6718D4" w14:textId="77777777" w:rsidR="006F4D11" w:rsidRDefault="006F4D11" w:rsidP="006D3D69"/>
    <w:p w14:paraId="58F5C80F" w14:textId="7F18E4D4" w:rsidR="006F4D11" w:rsidRDefault="00CB3D8D" w:rsidP="006D3D69">
      <w:r>
        <w:t xml:space="preserve">The simplest approach would be to monitor the C-RNTI for SDT operation following the </w:t>
      </w:r>
      <w:r w:rsidR="009524E0">
        <w:t>CORESET configuration applicable to CSS type1 at any given time as already defined. It would also be possible to consider a SDT-specific CORESET and/or search space configuration, but given the flexibility already associated to the CORESET and SS configurations, this does not seem as justified additional complexity and overhead, unless clear benefits are identified.</w:t>
      </w:r>
    </w:p>
    <w:p w14:paraId="75C0AB62" w14:textId="5087FB79" w:rsidR="006D3D69" w:rsidRPr="009524E0" w:rsidRDefault="00A869F4" w:rsidP="006D3D69">
      <w:r>
        <w:rPr>
          <w:b/>
          <w:bCs/>
        </w:rPr>
        <w:t xml:space="preserve">Proposal 1: </w:t>
      </w:r>
      <w:r w:rsidRPr="009524E0">
        <w:rPr>
          <w:b/>
          <w:bCs/>
        </w:rPr>
        <w:t xml:space="preserve">The UE </w:t>
      </w:r>
      <w:r w:rsidR="009524E0" w:rsidRPr="009524E0">
        <w:rPr>
          <w:b/>
          <w:bCs/>
        </w:rPr>
        <w:t>monitors the C-RNT</w:t>
      </w:r>
      <w:r w:rsidR="000A28AA">
        <w:rPr>
          <w:b/>
          <w:bCs/>
        </w:rPr>
        <w:t>I</w:t>
      </w:r>
      <w:r w:rsidR="009524E0" w:rsidRPr="009524E0">
        <w:rPr>
          <w:b/>
          <w:bCs/>
        </w:rPr>
        <w:t xml:space="preserve"> for small data transmission after the successful completion of the RA-SDT procedure in CSS type1 applying the CORESET configuration associated to that CSS.</w:t>
      </w:r>
      <w:r w:rsidR="009524E0">
        <w:t xml:space="preserve">  </w:t>
      </w:r>
    </w:p>
    <w:p w14:paraId="1B4193BF" w14:textId="020B9529" w:rsidR="006D3D69" w:rsidRDefault="006D3D69" w:rsidP="006D3D69">
      <w:pPr>
        <w:pStyle w:val="Heading2"/>
      </w:pPr>
      <w:r w:rsidRPr="006D3D69">
        <w:t>Configuration of association between the type 1 CG resource(s) for CG-SDT and SSB(s)</w:t>
      </w:r>
    </w:p>
    <w:p w14:paraId="42FF112E" w14:textId="4A0A4C09" w:rsidR="009524E0" w:rsidRDefault="009524E0" w:rsidP="009524E0">
      <w:r>
        <w:t>With regard to question on “</w:t>
      </w:r>
      <w:r w:rsidRPr="009524E0">
        <w:rPr>
          <w:i/>
          <w:iCs/>
        </w:rPr>
        <w:t>Configuration of association between the type 1 CG resource(s) for CG-SDT and SSB(s)</w:t>
      </w:r>
      <w:r>
        <w:t>”, RAN2 noted:</w:t>
      </w:r>
    </w:p>
    <w:tbl>
      <w:tblPr>
        <w:tblStyle w:val="TableGrid"/>
        <w:tblW w:w="0" w:type="auto"/>
        <w:tblLook w:val="04A0" w:firstRow="1" w:lastRow="0" w:firstColumn="1" w:lastColumn="0" w:noHBand="0" w:noVBand="1"/>
      </w:tblPr>
      <w:tblGrid>
        <w:gridCol w:w="9629"/>
      </w:tblGrid>
      <w:tr w:rsidR="00A869F4" w14:paraId="7C6F8403" w14:textId="77777777" w:rsidTr="00A869F4">
        <w:tc>
          <w:tcPr>
            <w:tcW w:w="9629" w:type="dxa"/>
          </w:tcPr>
          <w:p w14:paraId="379D7809" w14:textId="49183FB3" w:rsidR="00A478F8" w:rsidRDefault="00A478F8" w:rsidP="00A869F4">
            <w:pPr>
              <w:pStyle w:val="Header"/>
              <w:tabs>
                <w:tab w:val="left" w:pos="720"/>
              </w:tabs>
              <w:spacing w:after="120"/>
              <w:rPr>
                <w:rFonts w:cs="Arial"/>
                <w:b w:val="0"/>
                <w:bCs/>
              </w:rPr>
            </w:pPr>
            <w:r>
              <w:rPr>
                <w:rFonts w:cs="Arial"/>
                <w:b w:val="0"/>
                <w:bCs/>
              </w:rPr>
              <w:t>…</w:t>
            </w:r>
          </w:p>
          <w:p w14:paraId="52867A78" w14:textId="40141322" w:rsidR="00A478F8" w:rsidRDefault="00A478F8" w:rsidP="00A478F8">
            <w:pPr>
              <w:pStyle w:val="Doc-text2"/>
              <w:numPr>
                <w:ilvl w:val="0"/>
                <w:numId w:val="35"/>
              </w:numPr>
            </w:pPr>
            <w: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5D2EC555" w14:textId="2E920216" w:rsidR="00A478F8" w:rsidRDefault="00A478F8" w:rsidP="00A478F8">
            <w:pPr>
              <w:pStyle w:val="Doc-text2"/>
              <w:numPr>
                <w:ilvl w:val="0"/>
                <w:numId w:val="35"/>
              </w:numPr>
            </w:pPr>
            <w:r w:rsidRPr="00A478F8">
              <w:t>A SS-RSRP threshold is configured for SSB selection. UE selects one of the SSB with SS-RSRP above the threshold and selects the associated CG resource for UL data transmission.</w:t>
            </w:r>
          </w:p>
          <w:p w14:paraId="3160E0CA" w14:textId="3266D8DD" w:rsidR="00A478F8" w:rsidRDefault="00A478F8" w:rsidP="00A478F8">
            <w:pPr>
              <w:pStyle w:val="Doc-text2"/>
              <w:ind w:left="0" w:firstLine="0"/>
            </w:pPr>
            <w:r>
              <w:t>…</w:t>
            </w:r>
          </w:p>
          <w:p w14:paraId="2E9A6C14" w14:textId="77777777" w:rsidR="00A478F8" w:rsidRDefault="00A478F8" w:rsidP="00A478F8">
            <w:pPr>
              <w:pStyle w:val="Doc-text2"/>
              <w:ind w:left="0" w:firstLine="0"/>
            </w:pPr>
          </w:p>
          <w:p w14:paraId="57874BB0" w14:textId="4415A873" w:rsidR="00A478F8" w:rsidRPr="00A478F8" w:rsidRDefault="00A478F8" w:rsidP="00A478F8">
            <w:pPr>
              <w:pStyle w:val="Header"/>
              <w:tabs>
                <w:tab w:val="left" w:pos="720"/>
              </w:tabs>
              <w:spacing w:after="120"/>
              <w:rPr>
                <w:rFonts w:cs="Arial"/>
                <w:b w:val="0"/>
                <w:bCs/>
              </w:rPr>
            </w:pPr>
            <w:r>
              <w:rPr>
                <w:rFonts w:cs="Arial"/>
                <w:b w:val="0"/>
                <w:bCs/>
              </w:rPr>
              <w:t>…</w:t>
            </w:r>
            <w:r w:rsidRPr="00A869F4">
              <w:rPr>
                <w:rFonts w:cs="Arial"/>
                <w:b w:val="0"/>
                <w:bCs/>
              </w:rPr>
              <w:t xml:space="preserve">RAN2 has agreed that an association between type 1 CG resource(s) and SSB(s) is required for CG-based SDT considering the multi-beam operation. Providing such configuration explicitly in the </w:t>
            </w:r>
            <w:r w:rsidRPr="00A869F4">
              <w:rPr>
                <w:rFonts w:cs="Arial"/>
                <w:b w:val="0"/>
                <w:bCs/>
                <w:i/>
                <w:iCs/>
              </w:rPr>
              <w:t>RRCRelease</w:t>
            </w:r>
            <w:r w:rsidRPr="00A869F4">
              <w:rPr>
                <w:rFonts w:cs="Arial"/>
                <w:b w:val="0"/>
                <w:bCs/>
              </w:rPr>
              <w:t xml:space="preserve"> message with </w:t>
            </w:r>
            <w:r w:rsidRPr="00A869F4">
              <w:rPr>
                <w:rFonts w:cs="Arial"/>
                <w:b w:val="0"/>
                <w:bCs/>
                <w:i/>
                <w:iCs/>
              </w:rPr>
              <w:t>suspendConfig</w:t>
            </w:r>
            <w:r w:rsidRPr="00A869F4">
              <w:rPr>
                <w:rFonts w:cs="Arial"/>
                <w:b w:val="0"/>
                <w:bCs/>
              </w:rPr>
              <w:t xml:space="preserve"> is being considered by RAN2. RAN2 respectfully requests RAN1 to provide input on configuration of such association between the type 1 CG resources and the SSBs. </w:t>
            </w:r>
          </w:p>
        </w:tc>
      </w:tr>
    </w:tbl>
    <w:p w14:paraId="4FE3249E" w14:textId="5B8ED4F8" w:rsidR="006D3D69" w:rsidRDefault="006D3D69" w:rsidP="006D3D69"/>
    <w:p w14:paraId="118D1EDD" w14:textId="01757CFC" w:rsidR="00A869F4" w:rsidRDefault="00A478F8" w:rsidP="006D3D69">
      <w:r>
        <w:t xml:space="preserve">The CG-PUSCH relation to SSB allows the </w:t>
      </w:r>
      <w:proofErr w:type="spellStart"/>
      <w:r>
        <w:t>gNB</w:t>
      </w:r>
      <w:proofErr w:type="spellEnd"/>
      <w:r>
        <w:t xml:space="preserve"> to know from the CG-PUSCH resources the direction the UE’s PUSCH transmission can be expected</w:t>
      </w:r>
      <w:r w:rsidR="000A28AA">
        <w:t xml:space="preserve"> from</w:t>
      </w:r>
      <w:r>
        <w:t>, assuming that the UE can guarantee SSB-to-PUSCH beam correspondence in RRC_INACTIVE. The SSB-to-CG-PUSCH resource relation can be constructed with a</w:t>
      </w:r>
      <w:r w:rsidR="000A28AA">
        <w:t>n explicit</w:t>
      </w:r>
      <w:r>
        <w:t xml:space="preserve"> </w:t>
      </w:r>
      <w:r w:rsidR="000A28AA">
        <w:t xml:space="preserve">CG-PUSCH </w:t>
      </w:r>
      <w:r>
        <w:t>resource</w:t>
      </w:r>
      <w:r w:rsidR="000A28AA">
        <w:t xml:space="preserve"> </w:t>
      </w:r>
      <w:r>
        <w:t>to</w:t>
      </w:r>
      <w:r w:rsidR="000A28AA">
        <w:t xml:space="preserve"> </w:t>
      </w:r>
      <w:r>
        <w:t>SSB linkage</w:t>
      </w:r>
      <w:r w:rsidR="000A28AA">
        <w:t xml:space="preserve"> provided in the </w:t>
      </w:r>
      <w:r w:rsidR="000A28AA">
        <w:t xml:space="preserve">RRC </w:t>
      </w:r>
      <w:r w:rsidR="5CFFC518">
        <w:t>configuration</w:t>
      </w:r>
      <w:r>
        <w:t xml:space="preserve">. </w:t>
      </w:r>
      <w:r w:rsidR="00167769">
        <w:t xml:space="preserve">A similar flexibility as with SSB-to-RO configuration may be beneficial, at least so that one CG-PUSCH resource can be linked to </w:t>
      </w:r>
      <w:r w:rsidR="000A28AA">
        <w:t xml:space="preserve">one or </w:t>
      </w:r>
      <w:r w:rsidR="00167769">
        <w:t>several SSBs</w:t>
      </w:r>
      <w:r w:rsidR="00DC033A">
        <w:t xml:space="preserve"> in a TDM manner </w:t>
      </w:r>
      <w:proofErr w:type="gramStart"/>
      <w:r w:rsidR="00DC033A">
        <w:t>similar to</w:t>
      </w:r>
      <w:proofErr w:type="gramEnd"/>
      <w:r w:rsidR="00DC033A">
        <w:t xml:space="preserve"> SSB to PRACH mapping</w:t>
      </w:r>
      <w:r w:rsidR="00167769">
        <w:t>.</w:t>
      </w:r>
    </w:p>
    <w:p w14:paraId="59519635" w14:textId="79015D7C" w:rsidR="00A869F4" w:rsidRDefault="00A478F8" w:rsidP="006D3D69">
      <w:pPr>
        <w:rPr>
          <w:b/>
          <w:bCs/>
        </w:rPr>
      </w:pPr>
      <w:r>
        <w:rPr>
          <w:b/>
          <w:bCs/>
        </w:rPr>
        <w:t>Observation 1</w:t>
      </w:r>
      <w:r w:rsidR="00A869F4">
        <w:rPr>
          <w:b/>
          <w:bCs/>
        </w:rPr>
        <w:t xml:space="preserve">: </w:t>
      </w:r>
      <w:r w:rsidR="00A869F4" w:rsidRPr="009524E0">
        <w:rPr>
          <w:b/>
          <w:bCs/>
        </w:rPr>
        <w:t xml:space="preserve">The </w:t>
      </w:r>
      <w:r>
        <w:rPr>
          <w:b/>
          <w:bCs/>
        </w:rPr>
        <w:t>UE in RRC_INACTIVE needs to support beam correspondence for the CG-PU</w:t>
      </w:r>
      <w:r w:rsidR="000A28AA">
        <w:rPr>
          <w:b/>
          <w:bCs/>
        </w:rPr>
        <w:t>S</w:t>
      </w:r>
      <w:r>
        <w:rPr>
          <w:b/>
          <w:bCs/>
        </w:rPr>
        <w:t xml:space="preserve">CH </w:t>
      </w:r>
      <w:r w:rsidR="000A28AA">
        <w:rPr>
          <w:b/>
          <w:bCs/>
        </w:rPr>
        <w:t xml:space="preserve">resource to SSB </w:t>
      </w:r>
      <w:r>
        <w:rPr>
          <w:b/>
          <w:bCs/>
        </w:rPr>
        <w:t>relation to be useful.</w:t>
      </w:r>
    </w:p>
    <w:p w14:paraId="4627563E" w14:textId="264A44E6" w:rsidR="00167769" w:rsidRDefault="00A478F8" w:rsidP="006D3D69">
      <w:pPr>
        <w:rPr>
          <w:b/>
          <w:bCs/>
        </w:rPr>
      </w:pPr>
      <w:r w:rsidRPr="1FD9A54E">
        <w:rPr>
          <w:b/>
          <w:bCs/>
        </w:rPr>
        <w:t xml:space="preserve">Proposal 2: </w:t>
      </w:r>
      <w:r w:rsidR="00167769" w:rsidRPr="1FD9A54E">
        <w:rPr>
          <w:b/>
          <w:bCs/>
        </w:rPr>
        <w:t>From RAN1 perspective t</w:t>
      </w:r>
      <w:r w:rsidRPr="1FD9A54E">
        <w:rPr>
          <w:b/>
          <w:bCs/>
        </w:rPr>
        <w:t xml:space="preserve">he CG-PUSCH </w:t>
      </w:r>
      <w:r w:rsidR="000A28AA" w:rsidRPr="1FD9A54E">
        <w:rPr>
          <w:b/>
          <w:bCs/>
        </w:rPr>
        <w:t xml:space="preserve">resource to SSB </w:t>
      </w:r>
      <w:r w:rsidRPr="1FD9A54E">
        <w:rPr>
          <w:b/>
          <w:bCs/>
        </w:rPr>
        <w:t xml:space="preserve">relation can be provided </w:t>
      </w:r>
      <w:proofErr w:type="spellStart"/>
      <w:r w:rsidRPr="1FD9A54E">
        <w:rPr>
          <w:b/>
          <w:bCs/>
        </w:rPr>
        <w:t>explicitely</w:t>
      </w:r>
      <w:proofErr w:type="spellEnd"/>
      <w:r w:rsidR="00167769" w:rsidRPr="1FD9A54E">
        <w:rPr>
          <w:b/>
          <w:bCs/>
        </w:rPr>
        <w:t xml:space="preserve"> in the RRC configuration. It should be possible to associate one CG-PUSCH configuration to several (or to all) SSBs</w:t>
      </w:r>
      <w:r w:rsidR="00722215">
        <w:rPr>
          <w:b/>
          <w:bCs/>
        </w:rPr>
        <w:t>.</w:t>
      </w:r>
    </w:p>
    <w:p w14:paraId="1FB95DAE" w14:textId="77777777" w:rsidR="00722215" w:rsidRDefault="00722215" w:rsidP="006D3D69">
      <w:pPr>
        <w:rPr>
          <w:b/>
          <w:bCs/>
        </w:rPr>
      </w:pPr>
    </w:p>
    <w:p w14:paraId="5101CC39" w14:textId="77777777" w:rsidR="00722215" w:rsidRPr="00A478F8" w:rsidRDefault="00722215" w:rsidP="006D3D69">
      <w:pPr>
        <w:rPr>
          <w:b/>
          <w:bCs/>
        </w:rPr>
      </w:pPr>
    </w:p>
    <w:bookmarkEnd w:id="1"/>
    <w:p w14:paraId="68A8C174" w14:textId="15B6A94A" w:rsidR="625343A0" w:rsidRPr="004B782D" w:rsidRDefault="007743D2" w:rsidP="004B782D">
      <w:pPr>
        <w:pStyle w:val="Heading2"/>
      </w:pPr>
      <w:r w:rsidRPr="004B782D">
        <w:lastRenderedPageBreak/>
        <w:t xml:space="preserve">TA validity </w:t>
      </w:r>
      <w:r>
        <w:t>within and across SSBs</w:t>
      </w:r>
    </w:p>
    <w:p w14:paraId="08D43B9F" w14:textId="6AF7E3C7" w:rsidR="007743D2" w:rsidRDefault="007743D2" w:rsidP="007743D2">
      <w:pPr>
        <w:rPr>
          <w:color w:val="000000"/>
        </w:rPr>
      </w:pPr>
      <w:r w:rsidRPr="007B00F4">
        <w:rPr>
          <w:color w:val="000000"/>
        </w:rPr>
        <w:t>In RAN2-112e the following agreement</w:t>
      </w:r>
      <w:r>
        <w:rPr>
          <w:color w:val="000000"/>
        </w:rPr>
        <w:t>s</w:t>
      </w:r>
      <w:r w:rsidRPr="007B00F4">
        <w:rPr>
          <w:color w:val="000000"/>
        </w:rPr>
        <w:t xml:space="preserve"> w</w:t>
      </w:r>
      <w:r>
        <w:rPr>
          <w:color w:val="000000"/>
        </w:rPr>
        <w:t>ere</w:t>
      </w:r>
      <w:r w:rsidRPr="007B00F4">
        <w:rPr>
          <w:color w:val="000000"/>
        </w:rPr>
        <w:t xml:space="preserve"> made</w:t>
      </w:r>
      <w:r>
        <w:rPr>
          <w:color w:val="000000"/>
        </w:rPr>
        <w:t xml:space="preserve"> related to the TA validity criteria to be applied by the UE before attempting a CG based SDT transmission:</w:t>
      </w:r>
    </w:p>
    <w:tbl>
      <w:tblPr>
        <w:tblStyle w:val="TableGrid"/>
        <w:tblW w:w="0" w:type="auto"/>
        <w:tblLook w:val="04A0" w:firstRow="1" w:lastRow="0" w:firstColumn="1" w:lastColumn="0" w:noHBand="0" w:noVBand="1"/>
      </w:tblPr>
      <w:tblGrid>
        <w:gridCol w:w="9629"/>
      </w:tblGrid>
      <w:tr w:rsidR="00586CD0" w14:paraId="0A3B3D48" w14:textId="77777777" w:rsidTr="00DB3E39">
        <w:tc>
          <w:tcPr>
            <w:tcW w:w="9629" w:type="dxa"/>
          </w:tcPr>
          <w:p w14:paraId="34CD1392" w14:textId="77777777" w:rsidR="00586CD0" w:rsidRDefault="00586CD0" w:rsidP="00DB3E39">
            <w:pPr>
              <w:pStyle w:val="Header"/>
              <w:tabs>
                <w:tab w:val="left" w:pos="720"/>
              </w:tabs>
              <w:spacing w:after="120"/>
              <w:rPr>
                <w:rFonts w:cs="Arial"/>
                <w:b w:val="0"/>
                <w:bCs/>
              </w:rPr>
            </w:pPr>
            <w:r>
              <w:rPr>
                <w:rFonts w:cs="Arial"/>
                <w:b w:val="0"/>
                <w:bCs/>
              </w:rPr>
              <w:t>…</w:t>
            </w:r>
          </w:p>
          <w:p w14:paraId="5B88C48D" w14:textId="1DC40A23" w:rsidR="00586CD0" w:rsidRDefault="00586CD0" w:rsidP="004B782D">
            <w:pPr>
              <w:pStyle w:val="Doc-text2"/>
              <w:numPr>
                <w:ilvl w:val="0"/>
                <w:numId w:val="38"/>
              </w:numPr>
            </w:pPr>
            <w:r w:rsidRPr="00586CD0">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586CD0">
              <w:t>RRCRelease</w:t>
            </w:r>
            <w:proofErr w:type="spellEnd"/>
            <w:r w:rsidRPr="00586CD0">
              <w:t xml:space="preserve"> message.</w:t>
            </w:r>
          </w:p>
          <w:p w14:paraId="333781E5" w14:textId="16825EF0" w:rsidR="00586CD0" w:rsidRDefault="00586CD0">
            <w:pPr>
              <w:pStyle w:val="Doc-text2"/>
              <w:ind w:left="0" w:firstLine="0"/>
            </w:pPr>
            <w:r>
              <w:t>…</w:t>
            </w:r>
          </w:p>
          <w:p w14:paraId="6B6F6C0F" w14:textId="2CB564B6" w:rsidR="00586CD0" w:rsidRDefault="00586CD0" w:rsidP="004B782D">
            <w:pPr>
              <w:pStyle w:val="Doc-text2"/>
              <w:numPr>
                <w:ilvl w:val="0"/>
                <w:numId w:val="39"/>
              </w:numPr>
            </w:pPr>
            <w:r w:rsidRPr="00586CD0">
              <w:t>The UE can use configured grant based small data transfer if at least the following criteria is fulfilled (1) user data is smaller than the data volume threshold; (2) configured grant resource is configured and valid; (3) UE has valid TA.  FFS for the candidate beam criteria.</w:t>
            </w:r>
          </w:p>
          <w:p w14:paraId="66C76359" w14:textId="59A861F3" w:rsidR="00586CD0" w:rsidRPr="004B782D" w:rsidRDefault="00586CD0" w:rsidP="004B782D">
            <w:pPr>
              <w:pStyle w:val="Doc-text2"/>
              <w:ind w:left="0" w:firstLine="0"/>
              <w:rPr>
                <w:b/>
              </w:rPr>
            </w:pPr>
            <w:r>
              <w:t>…</w:t>
            </w:r>
            <w:r w:rsidRPr="00A869F4">
              <w:rPr>
                <w:rFonts w:cs="Arial"/>
                <w:bCs/>
              </w:rPr>
              <w:t xml:space="preserve"> </w:t>
            </w:r>
          </w:p>
        </w:tc>
      </w:tr>
    </w:tbl>
    <w:p w14:paraId="358A3A07" w14:textId="136D40AC" w:rsidR="002136F6" w:rsidRDefault="007743D2" w:rsidP="00586CD0">
      <w:pPr>
        <w:spacing w:before="240"/>
        <w:jc w:val="both"/>
      </w:pPr>
      <w:r w:rsidRPr="00840A93">
        <w:t xml:space="preserve">The TA timer by itself is not </w:t>
      </w:r>
      <w:r>
        <w:t xml:space="preserve">a </w:t>
      </w:r>
      <w:r w:rsidRPr="00840A93">
        <w:t xml:space="preserve">condition enough to validate if the UE still has a valid </w:t>
      </w:r>
      <w:r>
        <w:t>TA</w:t>
      </w:r>
      <w:r w:rsidRPr="00840A93">
        <w:t>, since the configured timer duration does not reflect the UE’s mobility conditions and therefore the UE can become time misaligned before the TA timer expires</w:t>
      </w:r>
      <w:r>
        <w:t>. Also, the UE may be</w:t>
      </w:r>
      <w:r w:rsidRPr="00840A93">
        <w:t xml:space="preserve"> still time aligned when the TA timer expires.</w:t>
      </w:r>
      <w:r w:rsidR="00E32F6B">
        <w:t xml:space="preserve"> Therefore, in </w:t>
      </w:r>
      <w:r w:rsidRPr="00840A93">
        <w:t xml:space="preserve">NB-IOT’s PUR, the </w:t>
      </w:r>
      <w:r>
        <w:t>TA</w:t>
      </w:r>
      <w:r w:rsidRPr="00840A93">
        <w:t xml:space="preserve"> validation</w:t>
      </w:r>
      <w:r w:rsidR="002136F6">
        <w:t xml:space="preserve"> procedure</w:t>
      </w:r>
      <w:r w:rsidR="0073181C">
        <w:t xml:space="preserve"> was extended to also include the</w:t>
      </w:r>
      <w:r w:rsidR="003F1DE7">
        <w:t xml:space="preserve"> observation of the</w:t>
      </w:r>
      <w:r w:rsidR="0073181C">
        <w:t xml:space="preserve"> </w:t>
      </w:r>
      <w:proofErr w:type="spellStart"/>
      <w:r w:rsidR="0060252E">
        <w:t>variantion</w:t>
      </w:r>
      <w:proofErr w:type="spellEnd"/>
      <w:r w:rsidR="003F1DE7">
        <w:t xml:space="preserve"> of</w:t>
      </w:r>
      <w:r w:rsidR="0060252E">
        <w:t xml:space="preserve"> </w:t>
      </w:r>
      <w:r w:rsidR="00D92484">
        <w:t xml:space="preserve">the serving </w:t>
      </w:r>
      <w:r w:rsidR="00271119">
        <w:t>cell</w:t>
      </w:r>
      <w:r w:rsidR="00D92484">
        <w:t xml:space="preserve"> </w:t>
      </w:r>
      <w:r w:rsidR="0073181C">
        <w:t>RSRP</w:t>
      </w:r>
      <w:r w:rsidR="005914B2">
        <w:t>. Below we revisit th</w:t>
      </w:r>
      <w:r w:rsidR="0080612F">
        <w:t xml:space="preserve">is </w:t>
      </w:r>
      <w:r w:rsidR="005914B2">
        <w:t xml:space="preserve">procedure </w:t>
      </w:r>
      <w:r w:rsidR="0080612F">
        <w:t xml:space="preserve">as </w:t>
      </w:r>
      <w:r w:rsidR="005914B2">
        <w:t>defined in</w:t>
      </w:r>
      <w:r w:rsidR="002136F6">
        <w:t xml:space="preserve"> TS 38.331 </w:t>
      </w:r>
      <w:r w:rsidR="005914B2">
        <w:t xml:space="preserve">in </w:t>
      </w:r>
      <w:r w:rsidR="002136F6">
        <w:t>clause 5.3.3.19:</w:t>
      </w:r>
    </w:p>
    <w:tbl>
      <w:tblPr>
        <w:tblStyle w:val="TableGrid"/>
        <w:tblW w:w="0" w:type="auto"/>
        <w:tblLook w:val="04A0" w:firstRow="1" w:lastRow="0" w:firstColumn="1" w:lastColumn="0" w:noHBand="0" w:noVBand="1"/>
      </w:tblPr>
      <w:tblGrid>
        <w:gridCol w:w="9629"/>
      </w:tblGrid>
      <w:tr w:rsidR="002136F6" w14:paraId="3FF87A45" w14:textId="77777777" w:rsidTr="002136F6">
        <w:tc>
          <w:tcPr>
            <w:tcW w:w="9629" w:type="dxa"/>
          </w:tcPr>
          <w:p w14:paraId="2BC33A6F" w14:textId="77777777" w:rsidR="002136F6" w:rsidRDefault="002136F6" w:rsidP="004B782D">
            <w:pPr>
              <w:pStyle w:val="Heading4"/>
              <w:numPr>
                <w:ilvl w:val="0"/>
                <w:numId w:val="0"/>
              </w:numPr>
              <w:ind w:left="864" w:hanging="864"/>
            </w:pPr>
            <w:bookmarkStart w:id="4" w:name="_Toc60863339"/>
            <w:bookmarkStart w:id="5" w:name="_Toc46482970"/>
            <w:bookmarkStart w:id="6" w:name="_Toc46481736"/>
            <w:bookmarkStart w:id="7" w:name="_Toc46480502"/>
            <w:bookmarkStart w:id="8" w:name="_Toc37081877"/>
            <w:bookmarkStart w:id="9" w:name="_Toc36938898"/>
            <w:bookmarkStart w:id="10" w:name="_Toc36846245"/>
            <w:bookmarkStart w:id="11" w:name="_Toc36809881"/>
            <w:bookmarkStart w:id="12" w:name="_Toc36566472"/>
            <w:r>
              <w:t>5.3.3.19</w:t>
            </w:r>
            <w:r>
              <w:tab/>
              <w:t>Timing alignment validation for transmission using PUR</w:t>
            </w:r>
            <w:bookmarkEnd w:id="4"/>
            <w:bookmarkEnd w:id="5"/>
            <w:bookmarkEnd w:id="6"/>
            <w:bookmarkEnd w:id="7"/>
            <w:bookmarkEnd w:id="8"/>
            <w:bookmarkEnd w:id="9"/>
            <w:bookmarkEnd w:id="10"/>
            <w:bookmarkEnd w:id="11"/>
            <w:bookmarkEnd w:id="12"/>
          </w:p>
          <w:p w14:paraId="7BA576EF" w14:textId="77777777" w:rsidR="002136F6" w:rsidRDefault="002136F6" w:rsidP="002136F6">
            <w:r>
              <w:t xml:space="preserve">A UE shall consider the timing alignment value for transmission using PUR to be valid when </w:t>
            </w:r>
            <w:proofErr w:type="gramStart"/>
            <w:r>
              <w:t>all of</w:t>
            </w:r>
            <w:proofErr w:type="gramEnd"/>
            <w:r>
              <w:t xml:space="preserve"> the following conditions are fulfilled:</w:t>
            </w:r>
          </w:p>
          <w:p w14:paraId="15D0A686" w14:textId="77777777" w:rsidR="002136F6" w:rsidRDefault="002136F6" w:rsidP="002136F6">
            <w:pPr>
              <w:pStyle w:val="B1"/>
            </w:pPr>
            <w:r>
              <w:t>1&gt;</w:t>
            </w:r>
            <w:r>
              <w:tab/>
              <w:t xml:space="preserve">if </w:t>
            </w:r>
            <w:proofErr w:type="spellStart"/>
            <w:r>
              <w:rPr>
                <w:i/>
              </w:rPr>
              <w:t>pur-TimeAlignmentTimer</w:t>
            </w:r>
            <w:proofErr w:type="spellEnd"/>
            <w:r>
              <w:t xml:space="preserve"> is configured:</w:t>
            </w:r>
          </w:p>
          <w:p w14:paraId="00912FEF" w14:textId="77777777" w:rsidR="002136F6" w:rsidRDefault="002136F6" w:rsidP="002136F6">
            <w:pPr>
              <w:pStyle w:val="B2"/>
            </w:pPr>
            <w:r>
              <w:t>2&gt;</w:t>
            </w:r>
            <w:r>
              <w:tab/>
            </w:r>
            <w:proofErr w:type="spellStart"/>
            <w:r>
              <w:rPr>
                <w:i/>
              </w:rPr>
              <w:t>pur-TimeAlignmentTimer</w:t>
            </w:r>
            <w:proofErr w:type="spellEnd"/>
            <w:r>
              <w:t xml:space="preserve"> is running as confirmed by lower layers;</w:t>
            </w:r>
          </w:p>
          <w:p w14:paraId="5CE8A1B7" w14:textId="77777777" w:rsidR="002136F6" w:rsidRDefault="002136F6" w:rsidP="002136F6">
            <w:pPr>
              <w:pStyle w:val="B1"/>
            </w:pPr>
            <w:r>
              <w:t>1&gt;</w:t>
            </w:r>
            <w:r>
              <w:tab/>
              <w:t xml:space="preserve">if </w:t>
            </w:r>
            <w:proofErr w:type="spellStart"/>
            <w:r>
              <w:rPr>
                <w:i/>
              </w:rPr>
              <w:t>pur</w:t>
            </w:r>
            <w:proofErr w:type="spellEnd"/>
            <w:r>
              <w:rPr>
                <w:i/>
              </w:rPr>
              <w:t>-RSRP-</w:t>
            </w:r>
            <w:proofErr w:type="spellStart"/>
            <w:r>
              <w:rPr>
                <w:i/>
              </w:rPr>
              <w:t>ChangeThreshold</w:t>
            </w:r>
            <w:proofErr w:type="spellEnd"/>
            <w:r>
              <w:t xml:space="preserve"> (</w:t>
            </w:r>
            <w:proofErr w:type="spellStart"/>
            <w:r>
              <w:rPr>
                <w:i/>
              </w:rPr>
              <w:t>pur</w:t>
            </w:r>
            <w:proofErr w:type="spellEnd"/>
            <w:r>
              <w:rPr>
                <w:i/>
              </w:rPr>
              <w:t>-NRSRP-</w:t>
            </w:r>
            <w:proofErr w:type="spellStart"/>
            <w:r>
              <w:rPr>
                <w:i/>
              </w:rPr>
              <w:t>ChangeThreshold</w:t>
            </w:r>
            <w:proofErr w:type="spellEnd"/>
            <w:r>
              <w:t xml:space="preserve"> in NB-IoT) is configured:</w:t>
            </w:r>
          </w:p>
          <w:p w14:paraId="6390C4AB" w14:textId="77777777" w:rsidR="002136F6" w:rsidRDefault="002136F6" w:rsidP="002136F6">
            <w:pPr>
              <w:pStyle w:val="B2"/>
              <w:rPr>
                <w:bCs/>
                <w:noProof/>
                <w:lang w:eastAsia="en-GB"/>
              </w:rPr>
            </w:pPr>
            <w:r>
              <w:t>2&gt;</w:t>
            </w:r>
            <w:r>
              <w:tab/>
              <w:t xml:space="preserve">since the last TA validation, the </w:t>
            </w:r>
            <w:r>
              <w:rPr>
                <w:bCs/>
                <w:noProof/>
                <w:lang w:eastAsia="en-GB"/>
              </w:rPr>
              <w:t xml:space="preserve">serving cell (N)RSRP has not increased by more than </w:t>
            </w:r>
            <w:r>
              <w:rPr>
                <w:bCs/>
                <w:i/>
                <w:noProof/>
                <w:lang w:eastAsia="en-GB"/>
              </w:rPr>
              <w:t>increaseThresh</w:t>
            </w:r>
            <w:r>
              <w:rPr>
                <w:bCs/>
                <w:noProof/>
                <w:lang w:eastAsia="en-GB"/>
              </w:rPr>
              <w:t>; and</w:t>
            </w:r>
          </w:p>
          <w:p w14:paraId="625A5EEC" w14:textId="5B44D662" w:rsidR="002136F6" w:rsidRDefault="002136F6" w:rsidP="004B782D">
            <w:pPr>
              <w:pStyle w:val="B2"/>
              <w:rPr>
                <w:lang w:eastAsia="ja-JP"/>
              </w:rPr>
            </w:pPr>
            <w:r>
              <w:t>2&gt;</w:t>
            </w:r>
            <w:r>
              <w:tab/>
              <w:t xml:space="preserve">since the last TA validation, the </w:t>
            </w:r>
            <w:r>
              <w:rPr>
                <w:bCs/>
                <w:noProof/>
                <w:lang w:eastAsia="en-GB"/>
              </w:rPr>
              <w:t xml:space="preserve">serving cell (N)RSRP has not decreased by more than </w:t>
            </w:r>
            <w:r>
              <w:rPr>
                <w:bCs/>
                <w:i/>
                <w:noProof/>
                <w:lang w:eastAsia="en-GB"/>
              </w:rPr>
              <w:t>decreaseThresh</w:t>
            </w:r>
            <w:r>
              <w:t>;</w:t>
            </w:r>
          </w:p>
        </w:tc>
      </w:tr>
    </w:tbl>
    <w:p w14:paraId="57EFEC5C" w14:textId="402F6660" w:rsidR="007743D2" w:rsidRDefault="003F351F" w:rsidP="001C1618">
      <w:pPr>
        <w:spacing w:before="240"/>
        <w:jc w:val="both"/>
      </w:pPr>
      <w:r>
        <w:t xml:space="preserve">A UE before proceeding with its PUR transmission, </w:t>
      </w:r>
      <w:r w:rsidR="00193820">
        <w:t xml:space="preserve">has to ensure that the current measured serving cell RSRP </w:t>
      </w:r>
      <w:r w:rsidR="007661D8">
        <w:t xml:space="preserve">as neither increased above the </w:t>
      </w:r>
      <w:r w:rsidR="00E4692E">
        <w:rPr>
          <w:bCs/>
          <w:i/>
          <w:noProof/>
          <w:lang w:eastAsia="en-GB"/>
        </w:rPr>
        <w:t>increaseThresh</w:t>
      </w:r>
      <w:r w:rsidR="00E4692E">
        <w:rPr>
          <w:bCs/>
          <w:noProof/>
          <w:lang w:eastAsia="en-GB"/>
        </w:rPr>
        <w:t xml:space="preserve"> nor has decreased below the </w:t>
      </w:r>
      <w:r w:rsidR="00E4692E">
        <w:rPr>
          <w:bCs/>
          <w:i/>
          <w:noProof/>
          <w:lang w:eastAsia="en-GB"/>
        </w:rPr>
        <w:t>decreaseThresh</w:t>
      </w:r>
      <w:r w:rsidR="00B81881">
        <w:rPr>
          <w:bCs/>
          <w:iCs/>
          <w:noProof/>
          <w:lang w:eastAsia="en-GB"/>
        </w:rPr>
        <w:t xml:space="preserve">, when compared to previous serving cell RSRP when the UE knows that the TA was valid. </w:t>
      </w:r>
      <w:r w:rsidR="007743D2" w:rsidRPr="00840A93">
        <w:t>However, the same</w:t>
      </w:r>
      <w:r w:rsidR="002827D6">
        <w:t xml:space="preserve"> serving cell</w:t>
      </w:r>
      <w:r w:rsidR="007743D2" w:rsidRPr="00840A93">
        <w:t xml:space="preserve"> RSRP based </w:t>
      </w:r>
      <w:r w:rsidR="007743D2">
        <w:t xml:space="preserve">TA </w:t>
      </w:r>
      <w:r w:rsidR="007743D2" w:rsidRPr="00840A93">
        <w:t xml:space="preserve">validation </w:t>
      </w:r>
      <w:r w:rsidR="002827D6">
        <w:t xml:space="preserve">procedure </w:t>
      </w:r>
      <w:r w:rsidR="007743D2" w:rsidRPr="00840A93">
        <w:t xml:space="preserve">is not </w:t>
      </w:r>
      <w:proofErr w:type="spellStart"/>
      <w:r w:rsidR="001C1618">
        <w:t>necessar</w:t>
      </w:r>
      <w:r w:rsidR="007E767D">
        <w:t>i</w:t>
      </w:r>
      <w:r w:rsidR="001C1618">
        <w:t>lly</w:t>
      </w:r>
      <w:proofErr w:type="spellEnd"/>
      <w:r w:rsidR="001C1618">
        <w:t xml:space="preserve"> </w:t>
      </w:r>
      <w:proofErr w:type="gramStart"/>
      <w:r w:rsidR="007743D2" w:rsidRPr="00840A93">
        <w:t>sufficient</w:t>
      </w:r>
      <w:proofErr w:type="gramEnd"/>
      <w:r w:rsidR="007743D2" w:rsidRPr="00840A93">
        <w:t xml:space="preserve"> in NR, mainly due to the </w:t>
      </w:r>
      <w:r w:rsidR="007743D2">
        <w:t xml:space="preserve">characteristics associated with the </w:t>
      </w:r>
      <w:r w:rsidR="007743D2" w:rsidRPr="00840A93">
        <w:t>NR</w:t>
      </w:r>
      <w:r w:rsidR="007743D2">
        <w:t>’s</w:t>
      </w:r>
      <w:r w:rsidR="007743D2" w:rsidRPr="00840A93">
        <w:t xml:space="preserve"> beam-based </w:t>
      </w:r>
      <w:r w:rsidR="007743D2" w:rsidRPr="00840A93">
        <w:t>operation.</w:t>
      </w:r>
    </w:p>
    <w:p w14:paraId="2A4B5825" w14:textId="15E463B0" w:rsidR="007743D2" w:rsidRPr="00840A93" w:rsidRDefault="007743D2" w:rsidP="001C1618">
      <w:pPr>
        <w:spacing w:before="240"/>
        <w:jc w:val="both"/>
      </w:pPr>
      <w:r>
        <w:t xml:space="preserve">We provide in </w:t>
      </w:r>
      <w:r>
        <w:fldChar w:fldCharType="begin"/>
      </w:r>
      <w:r>
        <w:instrText xml:space="preserve"> REF _Ref57900083 \h  \* MERGEFORMAT </w:instrText>
      </w:r>
      <w:r>
        <w:fldChar w:fldCharType="separate"/>
      </w:r>
      <w:r w:rsidR="001C1618">
        <w:t>Figure 1</w:t>
      </w:r>
      <w:r>
        <w:fldChar w:fldCharType="end"/>
      </w:r>
      <w:r>
        <w:t xml:space="preserve"> two </w:t>
      </w:r>
      <w:r w:rsidR="0095255F">
        <w:t xml:space="preserve">illustrative </w:t>
      </w:r>
      <w:r>
        <w:t xml:space="preserve">examples where </w:t>
      </w:r>
      <w:r w:rsidR="00003C6B">
        <w:t>it might be challenging for</w:t>
      </w:r>
      <w:r>
        <w:t xml:space="preserve"> the UE to extract from the observation of the </w:t>
      </w:r>
      <w:r w:rsidR="00003C6B">
        <w:t xml:space="preserve">variation of the </w:t>
      </w:r>
      <w:r>
        <w:t xml:space="preserve">cell-level RSRP if the UE is still time aligned. In the example in </w:t>
      </w:r>
      <w:r>
        <w:fldChar w:fldCharType="begin"/>
      </w:r>
      <w:r>
        <w:instrText xml:space="preserve"> REF _Ref57900083 \h </w:instrText>
      </w:r>
      <w:r>
        <w:fldChar w:fldCharType="separate"/>
      </w:r>
      <w:r w:rsidR="0095255F">
        <w:t xml:space="preserve">Figure </w:t>
      </w:r>
      <w:r w:rsidR="0095255F">
        <w:rPr>
          <w:noProof/>
        </w:rPr>
        <w:t>1</w:t>
      </w:r>
      <w:r>
        <w:fldChar w:fldCharType="end"/>
      </w:r>
      <w:r>
        <w:t>(a) (</w:t>
      </w:r>
      <w:r w:rsidRPr="004B782D">
        <w:t>intra-beam movement</w:t>
      </w:r>
      <w:r>
        <w:t xml:space="preserve">), the UE moves within the same SSB beam closer to the </w:t>
      </w:r>
      <w:proofErr w:type="spellStart"/>
      <w:r>
        <w:t>gNB</w:t>
      </w:r>
      <w:proofErr w:type="spellEnd"/>
      <w:r>
        <w:t xml:space="preserve"> (reducing the pathloss), but farther away from the beamforming lobe (i.e. where the beamforming gain is the highest), which results on a net zero variation of the </w:t>
      </w:r>
      <w:r w:rsidR="0095255F">
        <w:t xml:space="preserve">measured serving cell </w:t>
      </w:r>
      <w:r>
        <w:t xml:space="preserve">RSRP, i.e. since the RSRP does not vary, the UE cannot detect that the TA might no longer be valid. In contrast, in the example in </w:t>
      </w:r>
      <w:r>
        <w:fldChar w:fldCharType="begin"/>
      </w:r>
      <w:r>
        <w:instrText xml:space="preserve"> REF _Ref57900083 \h </w:instrText>
      </w:r>
      <w:r>
        <w:fldChar w:fldCharType="separate"/>
      </w:r>
      <w:r w:rsidR="0095255F">
        <w:t xml:space="preserve">Figure </w:t>
      </w:r>
      <w:r w:rsidR="0095255F">
        <w:rPr>
          <w:noProof/>
        </w:rPr>
        <w:t>1</w:t>
      </w:r>
      <w:r>
        <w:fldChar w:fldCharType="end"/>
      </w:r>
      <w:r>
        <w:t>(b) (</w:t>
      </w:r>
      <w:r w:rsidRPr="004B782D">
        <w:t>inter-beam movement</w:t>
      </w:r>
      <w:r>
        <w:t xml:space="preserve">) the UE moves between different SSBs (i.e. different beams) while maintaining the same distance to the </w:t>
      </w:r>
      <w:proofErr w:type="spellStart"/>
      <w:r>
        <w:t>gNB</w:t>
      </w:r>
      <w:proofErr w:type="spellEnd"/>
      <w:r>
        <w:t xml:space="preserve">, which results on the UE observing a variation on the measured </w:t>
      </w:r>
      <w:r w:rsidR="0095255F">
        <w:t xml:space="preserve">serving cell </w:t>
      </w:r>
      <w:r>
        <w:t>RSRP while still keeping a valid TA.</w:t>
      </w:r>
    </w:p>
    <w:p w14:paraId="27814B4D" w14:textId="62710E9B" w:rsidR="007743D2" w:rsidRDefault="00722215" w:rsidP="007743D2">
      <w:pPr>
        <w:keepNext/>
        <w:spacing w:after="240"/>
        <w:ind w:left="360"/>
        <w:jc w:val="center"/>
      </w:pPr>
      <w:r>
        <w:object w:dxaOrig="8857" w:dyaOrig="7489" w14:anchorId="4591E3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1pt;height:342.7pt" o:ole="">
            <v:imagedata r:id="rId13" o:title=""/>
          </v:shape>
          <o:OLEObject Type="Embed" ProgID="Visio.Drawing.15" ShapeID="_x0000_i1025" DrawAspect="Content" ObjectID="_1672492932" r:id="rId14"/>
        </w:object>
      </w:r>
    </w:p>
    <w:p w14:paraId="263283DE" w14:textId="4A845E7B" w:rsidR="007743D2" w:rsidRDefault="007743D2" w:rsidP="004B782D">
      <w:pPr>
        <w:pStyle w:val="Caption"/>
        <w:jc w:val="both"/>
      </w:pPr>
      <w:bookmarkStart w:id="13" w:name="_Ref57900083"/>
      <w:r>
        <w:t xml:space="preserve">Figure </w:t>
      </w:r>
      <w:r>
        <w:fldChar w:fldCharType="begin"/>
      </w:r>
      <w:r>
        <w:instrText>SEQ Figure \* ARABIC</w:instrText>
      </w:r>
      <w:r>
        <w:fldChar w:fldCharType="separate"/>
      </w:r>
      <w:r w:rsidR="001C1618">
        <w:rPr>
          <w:noProof/>
        </w:rPr>
        <w:t>1</w:t>
      </w:r>
      <w:r>
        <w:fldChar w:fldCharType="end"/>
      </w:r>
      <w:bookmarkEnd w:id="13"/>
      <w:r>
        <w:t xml:space="preserve">: Examples of where beamforming can disrupt the measured </w:t>
      </w:r>
      <w:r w:rsidR="00CF3A7F">
        <w:t xml:space="preserve">serving cell </w:t>
      </w:r>
      <w:r>
        <w:t xml:space="preserve">RSRP, but where it is not possible to ascertain if the UE still has a valid TA. The </w:t>
      </w:r>
      <w:proofErr w:type="spellStart"/>
      <w:r>
        <w:t>elipses</w:t>
      </w:r>
      <w:proofErr w:type="spellEnd"/>
      <w:r>
        <w:t xml:space="preserve"> represent the SSB coverage projected to the ground: (a) (intra-beam) the UE keeps a constant </w:t>
      </w:r>
      <w:r w:rsidR="00DF01E5">
        <w:t xml:space="preserve">serving cell </w:t>
      </w:r>
      <w:r>
        <w:t xml:space="preserve">RSRP by moving closer to the </w:t>
      </w:r>
      <w:proofErr w:type="spellStart"/>
      <w:r>
        <w:t>gNB</w:t>
      </w:r>
      <w:proofErr w:type="spellEnd"/>
      <w:r>
        <w:t xml:space="preserve">, decreasing the pathloss, but because the UE is also moving outside the main beamforming lobe then there is a corresponding beamforming gain decrease; (b) (inter-beam) the UE moves in a </w:t>
      </w:r>
      <w:r w:rsidR="00DF01E5">
        <w:t xml:space="preserve">radial </w:t>
      </w:r>
      <w:r>
        <w:t xml:space="preserve">trajectory around the </w:t>
      </w:r>
      <w:proofErr w:type="spellStart"/>
      <w:r>
        <w:t>gNB</w:t>
      </w:r>
      <w:proofErr w:type="spellEnd"/>
      <w:r>
        <w:t xml:space="preserve"> so it keeps the same distance but transitions between SSBs.</w:t>
      </w:r>
    </w:p>
    <w:p w14:paraId="4C303092" w14:textId="76634E6C" w:rsidR="005B66A5" w:rsidRPr="004B782D" w:rsidRDefault="00CC1809" w:rsidP="00CC5733">
      <w:pPr>
        <w:spacing w:after="240"/>
        <w:jc w:val="both"/>
        <w:rPr>
          <w:b/>
          <w:bCs/>
        </w:rPr>
      </w:pPr>
      <w:r w:rsidRPr="004B782D">
        <w:rPr>
          <w:b/>
          <w:bCs/>
        </w:rPr>
        <w:t xml:space="preserve">Observation 2: </w:t>
      </w:r>
      <w:r w:rsidR="00B83D0C" w:rsidRPr="004B782D">
        <w:rPr>
          <w:b/>
          <w:bCs/>
        </w:rPr>
        <w:t>TA validation based on s</w:t>
      </w:r>
      <w:r w:rsidRPr="004B782D">
        <w:rPr>
          <w:b/>
          <w:bCs/>
        </w:rPr>
        <w:t xml:space="preserve">erving cell RSRP </w:t>
      </w:r>
      <w:r w:rsidR="00B83D0C" w:rsidRPr="004B782D">
        <w:rPr>
          <w:b/>
          <w:bCs/>
        </w:rPr>
        <w:t xml:space="preserve">variation </w:t>
      </w:r>
      <w:r w:rsidR="00410822" w:rsidRPr="004B782D">
        <w:rPr>
          <w:b/>
          <w:bCs/>
        </w:rPr>
        <w:t xml:space="preserve">is not </w:t>
      </w:r>
      <w:r w:rsidR="006923D7" w:rsidRPr="004B782D">
        <w:rPr>
          <w:b/>
          <w:bCs/>
        </w:rPr>
        <w:t xml:space="preserve">robust </w:t>
      </w:r>
      <w:r w:rsidR="00BE164B" w:rsidRPr="004B782D">
        <w:rPr>
          <w:b/>
          <w:bCs/>
        </w:rPr>
        <w:t>in a NR system due to the multi-beam scenarios.</w:t>
      </w:r>
    </w:p>
    <w:p w14:paraId="37710BBC" w14:textId="02F12D27" w:rsidR="007743D2" w:rsidRDefault="00BE164B" w:rsidP="005604FB">
      <w:pPr>
        <w:spacing w:after="240"/>
        <w:jc w:val="both"/>
        <w:rPr>
          <w:b/>
          <w:bCs/>
        </w:rPr>
      </w:pPr>
      <w:r w:rsidRPr="004B782D">
        <w:rPr>
          <w:b/>
          <w:bCs/>
        </w:rPr>
        <w:t xml:space="preserve">Proposal 3: RAN1 </w:t>
      </w:r>
      <w:r w:rsidR="00477AC4" w:rsidRPr="004B782D">
        <w:rPr>
          <w:b/>
          <w:bCs/>
        </w:rPr>
        <w:t>to</w:t>
      </w:r>
      <w:r w:rsidRPr="004B782D">
        <w:rPr>
          <w:b/>
          <w:bCs/>
        </w:rPr>
        <w:t xml:space="preserve"> study </w:t>
      </w:r>
      <w:r w:rsidR="00477AC4" w:rsidRPr="004B782D">
        <w:rPr>
          <w:b/>
          <w:bCs/>
        </w:rPr>
        <w:t xml:space="preserve">additional TA validation mechanisms that can make TA validation robust in multi-beam scenarios. </w:t>
      </w:r>
    </w:p>
    <w:p w14:paraId="10445A01" w14:textId="480CC7E1" w:rsidR="00885580" w:rsidRDefault="007820D0" w:rsidP="00885580">
      <w:pPr>
        <w:pStyle w:val="Heading1"/>
      </w:pPr>
      <w:r>
        <w:t>Conclusion</w:t>
      </w:r>
    </w:p>
    <w:p w14:paraId="384567B8" w14:textId="3C0236B1" w:rsidR="001337A5" w:rsidRDefault="005604FB" w:rsidP="004B782D">
      <w:pPr>
        <w:rPr>
          <w:lang w:val="en-US"/>
        </w:rPr>
      </w:pPr>
      <w:r>
        <w:rPr>
          <w:lang w:val="en-US"/>
        </w:rPr>
        <w:t>In this contribution the RAN2 LS to RAN1 on MDT is discussed and the following proposals are made:</w:t>
      </w:r>
    </w:p>
    <w:p w14:paraId="3C79B962" w14:textId="77777777" w:rsidR="004B782D" w:rsidRPr="009524E0" w:rsidRDefault="004B782D" w:rsidP="004B782D">
      <w:r>
        <w:rPr>
          <w:b/>
          <w:bCs/>
        </w:rPr>
        <w:t xml:space="preserve">Proposal 1: </w:t>
      </w:r>
      <w:r w:rsidRPr="004B782D">
        <w:t>The UE monitors the C-RNTI for small data transmission after the successful completion of the RA-SDT procedure in CSS type1 applying the CORESET configuration associated to that CSS.</w:t>
      </w:r>
      <w:r>
        <w:t xml:space="preserve">  </w:t>
      </w:r>
    </w:p>
    <w:p w14:paraId="7A70039F" w14:textId="77777777" w:rsidR="004B782D" w:rsidRDefault="004B782D" w:rsidP="004B782D">
      <w:pPr>
        <w:rPr>
          <w:b/>
          <w:bCs/>
        </w:rPr>
      </w:pPr>
      <w:r>
        <w:rPr>
          <w:b/>
          <w:bCs/>
        </w:rPr>
        <w:t xml:space="preserve">Observation 1: </w:t>
      </w:r>
      <w:r w:rsidRPr="004B782D">
        <w:t>The UE in RRC_INACTIVE needs to support beam correspondence for the CG-PUSCH resource to SSB relation to be useful.</w:t>
      </w:r>
    </w:p>
    <w:p w14:paraId="3647F77A" w14:textId="77777777" w:rsidR="004B782D" w:rsidRDefault="004B782D" w:rsidP="004B782D">
      <w:pPr>
        <w:rPr>
          <w:b/>
          <w:bCs/>
        </w:rPr>
      </w:pPr>
      <w:r w:rsidRPr="1FD9A54E">
        <w:rPr>
          <w:b/>
          <w:bCs/>
        </w:rPr>
        <w:t xml:space="preserve">Proposal 2: </w:t>
      </w:r>
      <w:r w:rsidRPr="004B782D">
        <w:t xml:space="preserve">From RAN1 perspective the CG-PUSCH resource to SSB relation can be provided </w:t>
      </w:r>
      <w:proofErr w:type="spellStart"/>
      <w:r w:rsidRPr="004B782D">
        <w:t>explicitely</w:t>
      </w:r>
      <w:proofErr w:type="spellEnd"/>
      <w:r w:rsidRPr="004B782D">
        <w:t xml:space="preserve"> in the RRC configuration. It should be possible to associate one CG-PUSCH configuration to several (or to all) SSBs.</w:t>
      </w:r>
    </w:p>
    <w:p w14:paraId="4E590BB0" w14:textId="77777777" w:rsidR="004B782D" w:rsidRPr="004B782D" w:rsidRDefault="004B782D" w:rsidP="004B782D">
      <w:pPr>
        <w:spacing w:after="240"/>
        <w:jc w:val="both"/>
        <w:rPr>
          <w:b/>
          <w:bCs/>
        </w:rPr>
      </w:pPr>
      <w:r w:rsidRPr="004B782D">
        <w:rPr>
          <w:b/>
          <w:bCs/>
        </w:rPr>
        <w:t xml:space="preserve">Observation 2: </w:t>
      </w:r>
      <w:r w:rsidRPr="004B782D">
        <w:t>TA validation based on serving cell RSRP variation is not robust in a NR system due to the multi-beam scenarios.</w:t>
      </w:r>
    </w:p>
    <w:p w14:paraId="289745AF" w14:textId="795DEA30" w:rsidR="004B782D" w:rsidRDefault="004B782D" w:rsidP="005604FB">
      <w:pPr>
        <w:spacing w:after="240"/>
        <w:jc w:val="both"/>
      </w:pPr>
      <w:r w:rsidRPr="004B782D">
        <w:rPr>
          <w:b/>
          <w:bCs/>
        </w:rPr>
        <w:t xml:space="preserve">Proposal 3: </w:t>
      </w:r>
      <w:r w:rsidRPr="004B782D">
        <w:t xml:space="preserve">RAN1 to study additional TA validation mechanisms that can make TA validation robust in multi-beam scenarios. </w:t>
      </w:r>
    </w:p>
    <w:p w14:paraId="22EE2D0B" w14:textId="5AA85802" w:rsidR="005604FB" w:rsidRPr="005604FB" w:rsidRDefault="005604FB" w:rsidP="005604FB">
      <w:pPr>
        <w:spacing w:after="240"/>
        <w:jc w:val="both"/>
      </w:pPr>
      <w:r>
        <w:rPr>
          <w:b/>
          <w:bCs/>
        </w:rPr>
        <w:lastRenderedPageBreak/>
        <w:t xml:space="preserve">Proposal 4: </w:t>
      </w:r>
      <w:r>
        <w:t xml:space="preserve">Provide RAN2 with </w:t>
      </w:r>
      <w:proofErr w:type="gramStart"/>
      <w:r>
        <w:t>an</w:t>
      </w:r>
      <w:proofErr w:type="gramEnd"/>
      <w:r>
        <w:t xml:space="preserve"> LS response corresponding to the proposals and observations above.</w:t>
      </w:r>
      <w:bookmarkStart w:id="14" w:name="_GoBack"/>
      <w:bookmarkEnd w:id="14"/>
    </w:p>
    <w:p w14:paraId="53CD9119" w14:textId="5206E1F5" w:rsidR="00885580" w:rsidRDefault="00885580" w:rsidP="00885580">
      <w:pPr>
        <w:pStyle w:val="Heading1"/>
        <w:numPr>
          <w:ilvl w:val="0"/>
          <w:numId w:val="0"/>
        </w:numPr>
      </w:pPr>
      <w:r>
        <w:t>References</w:t>
      </w:r>
    </w:p>
    <w:p w14:paraId="2C6979C9" w14:textId="3EAB219B" w:rsidR="00205A4B" w:rsidRDefault="005604FB" w:rsidP="00205A4B">
      <w:pPr>
        <w:pStyle w:val="ListParagraph"/>
        <w:numPr>
          <w:ilvl w:val="0"/>
          <w:numId w:val="27"/>
        </w:numPr>
        <w:rPr>
          <w:sz w:val="20"/>
          <w:szCs w:val="20"/>
        </w:rPr>
      </w:pPr>
      <w:hyperlink r:id="rId15" w:history="1">
        <w:r w:rsidR="00205A4B" w:rsidRPr="000A0AAC">
          <w:rPr>
            <w:rStyle w:val="Hyperlink"/>
            <w:sz w:val="20"/>
            <w:szCs w:val="20"/>
          </w:rPr>
          <w:t>R</w:t>
        </w:r>
        <w:r w:rsidR="00F74384" w:rsidRPr="000A0AAC">
          <w:rPr>
            <w:rStyle w:val="Hyperlink"/>
            <w:sz w:val="20"/>
            <w:szCs w:val="20"/>
          </w:rPr>
          <w:t>1-21</w:t>
        </w:r>
        <w:r w:rsidR="00C41C3F">
          <w:rPr>
            <w:rStyle w:val="Hyperlink"/>
            <w:sz w:val="20"/>
            <w:szCs w:val="20"/>
          </w:rPr>
          <w:t>00025</w:t>
        </w:r>
        <w:r w:rsidR="00F74384" w:rsidRPr="000A0AAC">
          <w:rPr>
            <w:rStyle w:val="Hyperlink"/>
            <w:sz w:val="20"/>
            <w:szCs w:val="20"/>
          </w:rPr>
          <w:t>/R2-</w:t>
        </w:r>
        <w:r w:rsidR="000A0AAC" w:rsidRPr="000A0AAC">
          <w:rPr>
            <w:rStyle w:val="Hyperlink"/>
            <w:sz w:val="20"/>
            <w:szCs w:val="20"/>
          </w:rPr>
          <w:t>2010841</w:t>
        </w:r>
      </w:hyperlink>
      <w:r w:rsidR="000A0AAC">
        <w:rPr>
          <w:sz w:val="20"/>
          <w:szCs w:val="20"/>
        </w:rPr>
        <w:t xml:space="preserve"> </w:t>
      </w:r>
      <w:r w:rsidR="000A0AAC" w:rsidRPr="000A0AAC">
        <w:rPr>
          <w:sz w:val="20"/>
          <w:szCs w:val="20"/>
        </w:rPr>
        <w:t xml:space="preserve">LS on </w:t>
      </w:r>
      <w:proofErr w:type="spellStart"/>
      <w:r w:rsidR="000A0AAC" w:rsidRPr="000A0AAC">
        <w:rPr>
          <w:sz w:val="20"/>
          <w:szCs w:val="20"/>
        </w:rPr>
        <w:t>physical</w:t>
      </w:r>
      <w:proofErr w:type="spellEnd"/>
      <w:r w:rsidR="000A0AAC" w:rsidRPr="000A0AAC">
        <w:rPr>
          <w:sz w:val="20"/>
          <w:szCs w:val="20"/>
        </w:rPr>
        <w:t xml:space="preserve"> </w:t>
      </w:r>
      <w:proofErr w:type="spellStart"/>
      <w:r w:rsidR="000A0AAC" w:rsidRPr="000A0AAC">
        <w:rPr>
          <w:sz w:val="20"/>
          <w:szCs w:val="20"/>
        </w:rPr>
        <w:t>layer</w:t>
      </w:r>
      <w:proofErr w:type="spellEnd"/>
      <w:r w:rsidR="000A0AAC" w:rsidRPr="000A0AAC">
        <w:rPr>
          <w:sz w:val="20"/>
          <w:szCs w:val="20"/>
        </w:rPr>
        <w:t xml:space="preserve"> </w:t>
      </w:r>
      <w:proofErr w:type="spellStart"/>
      <w:r w:rsidR="000A0AAC" w:rsidRPr="000A0AAC">
        <w:rPr>
          <w:sz w:val="20"/>
          <w:szCs w:val="20"/>
        </w:rPr>
        <w:t>aspects</w:t>
      </w:r>
      <w:proofErr w:type="spellEnd"/>
      <w:r w:rsidR="000A0AAC" w:rsidRPr="000A0AAC">
        <w:rPr>
          <w:sz w:val="20"/>
          <w:szCs w:val="20"/>
        </w:rPr>
        <w:t xml:space="preserve"> of </w:t>
      </w:r>
      <w:proofErr w:type="spellStart"/>
      <w:r w:rsidR="000A0AAC" w:rsidRPr="000A0AAC">
        <w:rPr>
          <w:sz w:val="20"/>
          <w:szCs w:val="20"/>
        </w:rPr>
        <w:t>small</w:t>
      </w:r>
      <w:proofErr w:type="spellEnd"/>
      <w:r w:rsidR="000A0AAC" w:rsidRPr="000A0AAC">
        <w:rPr>
          <w:sz w:val="20"/>
          <w:szCs w:val="20"/>
        </w:rPr>
        <w:t xml:space="preserve"> data transmission</w:t>
      </w:r>
      <w:r w:rsidR="000A0AAC">
        <w:rPr>
          <w:sz w:val="20"/>
          <w:szCs w:val="20"/>
        </w:rPr>
        <w:t>, RAN2</w:t>
      </w:r>
    </w:p>
    <w:p w14:paraId="093EE10C" w14:textId="740973E7" w:rsidR="00205A4B" w:rsidRPr="00205A4B" w:rsidRDefault="005604FB" w:rsidP="00205A4B">
      <w:pPr>
        <w:pStyle w:val="ListParagraph"/>
        <w:numPr>
          <w:ilvl w:val="0"/>
          <w:numId w:val="27"/>
        </w:numPr>
        <w:rPr>
          <w:sz w:val="20"/>
          <w:szCs w:val="20"/>
        </w:rPr>
      </w:pPr>
      <w:hyperlink r:id="rId16" w:history="1">
        <w:r w:rsidR="000A0AAC" w:rsidRPr="000A0AAC">
          <w:rPr>
            <w:rStyle w:val="Hyperlink"/>
            <w:sz w:val="20"/>
            <w:szCs w:val="20"/>
          </w:rPr>
          <w:t>RP-201305</w:t>
        </w:r>
      </w:hyperlink>
      <w:r w:rsidR="000A0AAC">
        <w:rPr>
          <w:sz w:val="20"/>
          <w:szCs w:val="20"/>
        </w:rPr>
        <w:t xml:space="preserve"> </w:t>
      </w:r>
      <w:proofErr w:type="spellStart"/>
      <w:r w:rsidR="000A0AAC" w:rsidRPr="000A0AAC">
        <w:rPr>
          <w:sz w:val="20"/>
          <w:szCs w:val="20"/>
        </w:rPr>
        <w:t>Work</w:t>
      </w:r>
      <w:proofErr w:type="spellEnd"/>
      <w:r w:rsidR="000A0AAC" w:rsidRPr="000A0AAC">
        <w:rPr>
          <w:sz w:val="20"/>
          <w:szCs w:val="20"/>
        </w:rPr>
        <w:t xml:space="preserve"> </w:t>
      </w:r>
      <w:proofErr w:type="spellStart"/>
      <w:r w:rsidR="000A0AAC" w:rsidRPr="000A0AAC">
        <w:rPr>
          <w:sz w:val="20"/>
          <w:szCs w:val="20"/>
        </w:rPr>
        <w:t>Item</w:t>
      </w:r>
      <w:proofErr w:type="spellEnd"/>
      <w:r w:rsidR="000A0AAC" w:rsidRPr="000A0AAC">
        <w:rPr>
          <w:sz w:val="20"/>
          <w:szCs w:val="20"/>
        </w:rPr>
        <w:t xml:space="preserve"> on NR </w:t>
      </w:r>
      <w:proofErr w:type="spellStart"/>
      <w:r w:rsidR="000A0AAC" w:rsidRPr="000A0AAC">
        <w:rPr>
          <w:sz w:val="20"/>
          <w:szCs w:val="20"/>
        </w:rPr>
        <w:t>small</w:t>
      </w:r>
      <w:proofErr w:type="spellEnd"/>
      <w:r w:rsidR="000A0AAC">
        <w:rPr>
          <w:sz w:val="20"/>
          <w:szCs w:val="20"/>
        </w:rPr>
        <w:t xml:space="preserve"> </w:t>
      </w:r>
      <w:r w:rsidR="000A0AAC" w:rsidRPr="000A0AAC">
        <w:rPr>
          <w:sz w:val="20"/>
          <w:szCs w:val="20"/>
        </w:rPr>
        <w:t xml:space="preserve">data </w:t>
      </w:r>
      <w:proofErr w:type="spellStart"/>
      <w:r w:rsidR="000A0AAC" w:rsidRPr="000A0AAC">
        <w:rPr>
          <w:sz w:val="20"/>
          <w:szCs w:val="20"/>
        </w:rPr>
        <w:t>transmissions</w:t>
      </w:r>
      <w:proofErr w:type="spellEnd"/>
      <w:r w:rsidR="000A0AAC" w:rsidRPr="000A0AAC">
        <w:rPr>
          <w:sz w:val="20"/>
          <w:szCs w:val="20"/>
        </w:rPr>
        <w:t xml:space="preserve"> in INACTIVE </w:t>
      </w:r>
      <w:proofErr w:type="spellStart"/>
      <w:r w:rsidR="000A0AAC" w:rsidRPr="000A0AAC">
        <w:rPr>
          <w:sz w:val="20"/>
          <w:szCs w:val="20"/>
        </w:rPr>
        <w:t>state</w:t>
      </w:r>
      <w:proofErr w:type="spellEnd"/>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6A47F" w16cex:dateUtc="2021-01-11T02:18:00Z"/>
  <w16cex:commentExtensible w16cex:durableId="52AEEAEE" w16cex:dateUtc="2021-01-11T07:37:00Z"/>
  <w16cex:commentExtensible w16cex:durableId="23A708A0" w16cex:dateUtc="2021-01-11T09:25:00Z"/>
  <w16cex:commentExtensible w16cex:durableId="39DC93CD" w16cex:dateUtc="2021-01-11T10: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F741C" w14:textId="77777777" w:rsidR="00013A71" w:rsidRDefault="00013A71">
      <w:r>
        <w:separator/>
      </w:r>
    </w:p>
  </w:endnote>
  <w:endnote w:type="continuationSeparator" w:id="0">
    <w:p w14:paraId="1FEDD2E1" w14:textId="77777777" w:rsidR="00013A71" w:rsidRDefault="00013A71">
      <w:r>
        <w:continuationSeparator/>
      </w:r>
    </w:p>
  </w:endnote>
  <w:endnote w:type="continuationNotice" w:id="1">
    <w:p w14:paraId="377198C9" w14:textId="77777777" w:rsidR="00241550" w:rsidRDefault="00241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603F" w14:textId="77777777" w:rsidR="00013A71" w:rsidRDefault="00013A71">
      <w:r>
        <w:separator/>
      </w:r>
    </w:p>
  </w:footnote>
  <w:footnote w:type="continuationSeparator" w:id="0">
    <w:p w14:paraId="5EE4C8A7" w14:textId="77777777" w:rsidR="00013A71" w:rsidRDefault="00013A71">
      <w:r>
        <w:continuationSeparator/>
      </w:r>
    </w:p>
  </w:footnote>
  <w:footnote w:type="continuationNotice" w:id="1">
    <w:p w14:paraId="3A7408F5" w14:textId="77777777" w:rsidR="00241550" w:rsidRDefault="002415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279F3D95"/>
    <w:multiLevelType w:val="hybridMultilevel"/>
    <w:tmpl w:val="88860484"/>
    <w:lvl w:ilvl="0" w:tplc="A0D818F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7716F1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7147192"/>
    <w:multiLevelType w:val="hybridMultilevel"/>
    <w:tmpl w:val="93C8C35E"/>
    <w:lvl w:ilvl="0" w:tplc="A4CCC128">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48B65DC"/>
    <w:multiLevelType w:val="hybridMultilevel"/>
    <w:tmpl w:val="648B65DC"/>
    <w:lvl w:ilvl="0" w:tplc="148230DE">
      <w:numFmt w:val="bullet"/>
      <w:lvlText w:val="-"/>
      <w:lvlJc w:val="left"/>
      <w:pPr>
        <w:ind w:left="360" w:hanging="360"/>
      </w:pPr>
      <w:rPr>
        <w:rFonts w:ascii="Calibri" w:eastAsia="Calibri" w:hAnsi="Calibri" w:cs="Calibri" w:hint="default"/>
      </w:rPr>
    </w:lvl>
    <w:lvl w:ilvl="1" w:tplc="09C04638">
      <w:start w:val="1"/>
      <w:numFmt w:val="bullet"/>
      <w:lvlText w:val="o"/>
      <w:lvlJc w:val="left"/>
      <w:pPr>
        <w:ind w:left="1080" w:hanging="360"/>
      </w:pPr>
      <w:rPr>
        <w:rFonts w:ascii="Courier New" w:hAnsi="Courier New" w:cs="Courier New" w:hint="default"/>
      </w:rPr>
    </w:lvl>
    <w:lvl w:ilvl="2" w:tplc="55CCE6B0">
      <w:start w:val="1"/>
      <w:numFmt w:val="bullet"/>
      <w:lvlText w:val=""/>
      <w:lvlJc w:val="left"/>
      <w:pPr>
        <w:ind w:left="1800" w:hanging="360"/>
      </w:pPr>
      <w:rPr>
        <w:rFonts w:ascii="Wingdings" w:hAnsi="Wingdings" w:hint="default"/>
      </w:rPr>
    </w:lvl>
    <w:lvl w:ilvl="3" w:tplc="A76E95A2">
      <w:start w:val="1"/>
      <w:numFmt w:val="bullet"/>
      <w:lvlText w:val=""/>
      <w:lvlJc w:val="left"/>
      <w:pPr>
        <w:ind w:left="2520" w:hanging="360"/>
      </w:pPr>
      <w:rPr>
        <w:rFonts w:ascii="Symbol" w:hAnsi="Symbol" w:hint="default"/>
      </w:rPr>
    </w:lvl>
    <w:lvl w:ilvl="4" w:tplc="06961E08">
      <w:start w:val="1"/>
      <w:numFmt w:val="bullet"/>
      <w:lvlText w:val="o"/>
      <w:lvlJc w:val="left"/>
      <w:pPr>
        <w:ind w:left="3240" w:hanging="360"/>
      </w:pPr>
      <w:rPr>
        <w:rFonts w:ascii="Courier New" w:hAnsi="Courier New" w:cs="Courier New" w:hint="default"/>
      </w:rPr>
    </w:lvl>
    <w:lvl w:ilvl="5" w:tplc="9FFAB984">
      <w:start w:val="1"/>
      <w:numFmt w:val="bullet"/>
      <w:lvlText w:val=""/>
      <w:lvlJc w:val="left"/>
      <w:pPr>
        <w:ind w:left="3960" w:hanging="360"/>
      </w:pPr>
      <w:rPr>
        <w:rFonts w:ascii="Wingdings" w:hAnsi="Wingdings" w:hint="default"/>
      </w:rPr>
    </w:lvl>
    <w:lvl w:ilvl="6" w:tplc="B5FADA9A">
      <w:start w:val="1"/>
      <w:numFmt w:val="bullet"/>
      <w:lvlText w:val=""/>
      <w:lvlJc w:val="left"/>
      <w:pPr>
        <w:ind w:left="4680" w:hanging="360"/>
      </w:pPr>
      <w:rPr>
        <w:rFonts w:ascii="Symbol" w:hAnsi="Symbol" w:hint="default"/>
      </w:rPr>
    </w:lvl>
    <w:lvl w:ilvl="7" w:tplc="FD9286A4">
      <w:start w:val="1"/>
      <w:numFmt w:val="bullet"/>
      <w:lvlText w:val="o"/>
      <w:lvlJc w:val="left"/>
      <w:pPr>
        <w:ind w:left="5400" w:hanging="360"/>
      </w:pPr>
      <w:rPr>
        <w:rFonts w:ascii="Courier New" w:hAnsi="Courier New" w:cs="Courier New" w:hint="default"/>
      </w:rPr>
    </w:lvl>
    <w:lvl w:ilvl="8" w:tplc="B5E6E00A">
      <w:start w:val="1"/>
      <w:numFmt w:val="bullet"/>
      <w:lvlText w:val=""/>
      <w:lvlJc w:val="left"/>
      <w:pPr>
        <w:ind w:left="6120" w:hanging="360"/>
      </w:pPr>
      <w:rPr>
        <w:rFonts w:ascii="Wingdings" w:hAnsi="Wingdings" w:hint="default"/>
      </w:rPr>
    </w:lvl>
  </w:abstractNum>
  <w:abstractNum w:abstractNumId="28" w15:restartNumberingAfterBreak="0">
    <w:nsid w:val="67F327CB"/>
    <w:multiLevelType w:val="hybridMultilevel"/>
    <w:tmpl w:val="78C83258"/>
    <w:lvl w:ilvl="0" w:tplc="401A82D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76C60"/>
    <w:multiLevelType w:val="hybridMultilevel"/>
    <w:tmpl w:val="F322E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993200"/>
    <w:multiLevelType w:val="hybridMultilevel"/>
    <w:tmpl w:val="CE8090CC"/>
    <w:lvl w:ilvl="0" w:tplc="2F38F566">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5" w15:restartNumberingAfterBreak="0">
    <w:nsid w:val="7E0B2DBC"/>
    <w:multiLevelType w:val="hybridMultilevel"/>
    <w:tmpl w:val="9262342E"/>
    <w:lvl w:ilvl="0" w:tplc="7F28B382">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5"/>
  </w:num>
  <w:num w:numId="3">
    <w:abstractNumId w:val="0"/>
  </w:num>
  <w:num w:numId="4">
    <w:abstractNumId w:val="2"/>
  </w:num>
  <w:num w:numId="5">
    <w:abstractNumId w:val="14"/>
  </w:num>
  <w:num w:numId="6">
    <w:abstractNumId w:val="26"/>
  </w:num>
  <w:num w:numId="7">
    <w:abstractNumId w:val="16"/>
  </w:num>
  <w:num w:numId="8">
    <w:abstractNumId w:val="13"/>
  </w:num>
  <w:num w:numId="9">
    <w:abstractNumId w:val="31"/>
  </w:num>
  <w:num w:numId="10">
    <w:abstractNumId w:val="4"/>
  </w:num>
  <w:num w:numId="11">
    <w:abstractNumId w:val="18"/>
  </w:num>
  <w:num w:numId="12">
    <w:abstractNumId w:val="3"/>
  </w:num>
  <w:num w:numId="13">
    <w:abstractNumId w:val="11"/>
  </w:num>
  <w:num w:numId="14">
    <w:abstractNumId w:val="21"/>
  </w:num>
  <w:num w:numId="15">
    <w:abstractNumId w:val="15"/>
  </w:num>
  <w:num w:numId="16">
    <w:abstractNumId w:val="1"/>
  </w:num>
  <w:num w:numId="17">
    <w:abstractNumId w:val="20"/>
  </w:num>
  <w:num w:numId="18">
    <w:abstractNumId w:val="12"/>
  </w:num>
  <w:num w:numId="19">
    <w:abstractNumId w:val="17"/>
  </w:num>
  <w:num w:numId="20">
    <w:abstractNumId w:val="30"/>
  </w:num>
  <w:num w:numId="21">
    <w:abstractNumId w:val="34"/>
  </w:num>
  <w:num w:numId="22">
    <w:abstractNumId w:val="19"/>
  </w:num>
  <w:num w:numId="23">
    <w:abstractNumId w:val="10"/>
  </w:num>
  <w:num w:numId="24">
    <w:abstractNumId w:val="5"/>
  </w:num>
  <w:num w:numId="25">
    <w:abstractNumId w:val="29"/>
  </w:num>
  <w:num w:numId="26">
    <w:abstractNumId w:val="24"/>
  </w:num>
  <w:num w:numId="27">
    <w:abstractNumId w:val="7"/>
  </w:num>
  <w:num w:numId="28">
    <w:abstractNumId w:val="8"/>
  </w:num>
  <w:num w:numId="29">
    <w:abstractNumId w:val="27"/>
  </w:num>
  <w:num w:numId="30">
    <w:abstractNumId w:val="32"/>
  </w:num>
  <w:num w:numId="31">
    <w:abstractNumId w:val="8"/>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2"/>
  </w:num>
  <w:num w:numId="36">
    <w:abstractNumId w:val="11"/>
  </w:num>
  <w:num w:numId="37">
    <w:abstractNumId w:val="28"/>
  </w:num>
  <w:num w:numId="38">
    <w:abstractNumId w:val="33"/>
  </w:num>
  <w:num w:numId="39">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6B"/>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A71"/>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0AAC"/>
    <w:rsid w:val="000A1176"/>
    <w:rsid w:val="000A1402"/>
    <w:rsid w:val="000A20BA"/>
    <w:rsid w:val="000A262C"/>
    <w:rsid w:val="000A28A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CB3"/>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C4A"/>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51"/>
    <w:rsid w:val="001670EA"/>
    <w:rsid w:val="001674A0"/>
    <w:rsid w:val="00167769"/>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820"/>
    <w:rsid w:val="00193986"/>
    <w:rsid w:val="00193B08"/>
    <w:rsid w:val="00194570"/>
    <w:rsid w:val="00196BF4"/>
    <w:rsid w:val="001972DA"/>
    <w:rsid w:val="001976AA"/>
    <w:rsid w:val="001A02F6"/>
    <w:rsid w:val="001A15C6"/>
    <w:rsid w:val="001A533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618"/>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6F6"/>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550"/>
    <w:rsid w:val="002418E8"/>
    <w:rsid w:val="00242E22"/>
    <w:rsid w:val="0024336B"/>
    <w:rsid w:val="00244194"/>
    <w:rsid w:val="0024424F"/>
    <w:rsid w:val="00244627"/>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119"/>
    <w:rsid w:val="00271589"/>
    <w:rsid w:val="00273177"/>
    <w:rsid w:val="0027455B"/>
    <w:rsid w:val="00275074"/>
    <w:rsid w:val="002763E9"/>
    <w:rsid w:val="00276736"/>
    <w:rsid w:val="00276F4E"/>
    <w:rsid w:val="0027773D"/>
    <w:rsid w:val="002778BD"/>
    <w:rsid w:val="002815FA"/>
    <w:rsid w:val="002824C2"/>
    <w:rsid w:val="002827D6"/>
    <w:rsid w:val="00284E32"/>
    <w:rsid w:val="002851EB"/>
    <w:rsid w:val="00285510"/>
    <w:rsid w:val="00285BD1"/>
    <w:rsid w:val="00285DE2"/>
    <w:rsid w:val="0028616D"/>
    <w:rsid w:val="00286965"/>
    <w:rsid w:val="00287677"/>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8E8"/>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019"/>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1DE7"/>
    <w:rsid w:val="003F351F"/>
    <w:rsid w:val="003F3FCC"/>
    <w:rsid w:val="003F5547"/>
    <w:rsid w:val="003F5C40"/>
    <w:rsid w:val="003F6E12"/>
    <w:rsid w:val="003F6F8B"/>
    <w:rsid w:val="003F75ED"/>
    <w:rsid w:val="004002B7"/>
    <w:rsid w:val="00400F31"/>
    <w:rsid w:val="004023BA"/>
    <w:rsid w:val="00406B4D"/>
    <w:rsid w:val="00410822"/>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AC4"/>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82D"/>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4FB"/>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6CD0"/>
    <w:rsid w:val="00587229"/>
    <w:rsid w:val="00587503"/>
    <w:rsid w:val="00587F7F"/>
    <w:rsid w:val="00590E8D"/>
    <w:rsid w:val="005914B2"/>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6A5"/>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5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0C"/>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3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3D69"/>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D11"/>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215"/>
    <w:rsid w:val="007236A3"/>
    <w:rsid w:val="007239B6"/>
    <w:rsid w:val="0072490A"/>
    <w:rsid w:val="00724B64"/>
    <w:rsid w:val="0072517D"/>
    <w:rsid w:val="00726878"/>
    <w:rsid w:val="0073124A"/>
    <w:rsid w:val="0073181C"/>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1D8"/>
    <w:rsid w:val="00767519"/>
    <w:rsid w:val="007704E1"/>
    <w:rsid w:val="00770E5C"/>
    <w:rsid w:val="00772569"/>
    <w:rsid w:val="00772E8C"/>
    <w:rsid w:val="00772FDB"/>
    <w:rsid w:val="0077316B"/>
    <w:rsid w:val="007736D3"/>
    <w:rsid w:val="007743D2"/>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E1A"/>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0384"/>
    <w:rsid w:val="007E1782"/>
    <w:rsid w:val="007E25AB"/>
    <w:rsid w:val="007E2F41"/>
    <w:rsid w:val="007E44FC"/>
    <w:rsid w:val="007E5AC2"/>
    <w:rsid w:val="007E767D"/>
    <w:rsid w:val="007E79C5"/>
    <w:rsid w:val="007F039C"/>
    <w:rsid w:val="007F0798"/>
    <w:rsid w:val="007F2845"/>
    <w:rsid w:val="007F2A69"/>
    <w:rsid w:val="007F38A2"/>
    <w:rsid w:val="007F43BC"/>
    <w:rsid w:val="007F4740"/>
    <w:rsid w:val="008006C6"/>
    <w:rsid w:val="00800C52"/>
    <w:rsid w:val="0080153E"/>
    <w:rsid w:val="008018C8"/>
    <w:rsid w:val="0080263A"/>
    <w:rsid w:val="0080329D"/>
    <w:rsid w:val="008055A9"/>
    <w:rsid w:val="0080612F"/>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6A2"/>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4E0"/>
    <w:rsid w:val="0095255F"/>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599"/>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0951"/>
    <w:rsid w:val="00A42A85"/>
    <w:rsid w:val="00A42D07"/>
    <w:rsid w:val="00A44B43"/>
    <w:rsid w:val="00A4503E"/>
    <w:rsid w:val="00A450C0"/>
    <w:rsid w:val="00A45468"/>
    <w:rsid w:val="00A471A8"/>
    <w:rsid w:val="00A478F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9F4"/>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5C07"/>
    <w:rsid w:val="00B76BCD"/>
    <w:rsid w:val="00B76EE9"/>
    <w:rsid w:val="00B77231"/>
    <w:rsid w:val="00B77880"/>
    <w:rsid w:val="00B77B84"/>
    <w:rsid w:val="00B80D90"/>
    <w:rsid w:val="00B81881"/>
    <w:rsid w:val="00B82613"/>
    <w:rsid w:val="00B828B5"/>
    <w:rsid w:val="00B82ED8"/>
    <w:rsid w:val="00B83D0C"/>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164B"/>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0760C"/>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1C3F"/>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D8D"/>
    <w:rsid w:val="00CB6795"/>
    <w:rsid w:val="00CB71F8"/>
    <w:rsid w:val="00CC1809"/>
    <w:rsid w:val="00CC180A"/>
    <w:rsid w:val="00CC26DB"/>
    <w:rsid w:val="00CC300C"/>
    <w:rsid w:val="00CC35AE"/>
    <w:rsid w:val="00CC3DAA"/>
    <w:rsid w:val="00CC4C2C"/>
    <w:rsid w:val="00CC5057"/>
    <w:rsid w:val="00CC573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3A7F"/>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1CF"/>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2484"/>
    <w:rsid w:val="00D930E1"/>
    <w:rsid w:val="00D9354D"/>
    <w:rsid w:val="00D9415C"/>
    <w:rsid w:val="00D942CC"/>
    <w:rsid w:val="00D944E4"/>
    <w:rsid w:val="00D94D87"/>
    <w:rsid w:val="00D95B31"/>
    <w:rsid w:val="00D95DCC"/>
    <w:rsid w:val="00D962DC"/>
    <w:rsid w:val="00D96711"/>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3A"/>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01E5"/>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F6B"/>
    <w:rsid w:val="00E3409E"/>
    <w:rsid w:val="00E34F76"/>
    <w:rsid w:val="00E37BE5"/>
    <w:rsid w:val="00E41A27"/>
    <w:rsid w:val="00E41AB4"/>
    <w:rsid w:val="00E42737"/>
    <w:rsid w:val="00E44906"/>
    <w:rsid w:val="00E45C77"/>
    <w:rsid w:val="00E4608B"/>
    <w:rsid w:val="00E4692E"/>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509E"/>
    <w:rsid w:val="00F560FE"/>
    <w:rsid w:val="00F60CD6"/>
    <w:rsid w:val="00F6111C"/>
    <w:rsid w:val="00F614C0"/>
    <w:rsid w:val="00F61647"/>
    <w:rsid w:val="00F64279"/>
    <w:rsid w:val="00F657CF"/>
    <w:rsid w:val="00F65808"/>
    <w:rsid w:val="00F6587D"/>
    <w:rsid w:val="00F66A00"/>
    <w:rsid w:val="00F66CFB"/>
    <w:rsid w:val="00F706BE"/>
    <w:rsid w:val="00F70C73"/>
    <w:rsid w:val="00F713A3"/>
    <w:rsid w:val="00F71A8F"/>
    <w:rsid w:val="00F74384"/>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569E83E"/>
    <w:rsid w:val="0C216186"/>
    <w:rsid w:val="10E807B4"/>
    <w:rsid w:val="141204DA"/>
    <w:rsid w:val="16512788"/>
    <w:rsid w:val="1A219784"/>
    <w:rsid w:val="1FD9A54E"/>
    <w:rsid w:val="2E309208"/>
    <w:rsid w:val="2FD7C4EB"/>
    <w:rsid w:val="32975CEE"/>
    <w:rsid w:val="330B539B"/>
    <w:rsid w:val="3E61DC49"/>
    <w:rsid w:val="3ED4C234"/>
    <w:rsid w:val="5CFFC518"/>
    <w:rsid w:val="625343A0"/>
    <w:rsid w:val="681ECF7A"/>
    <w:rsid w:val="7C760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5C56799-4778-455A-8697-93CA2F6B1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C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B1Char1">
    <w:name w:val="B1 Char1"/>
    <w:qFormat/>
    <w:locked/>
    <w:rsid w:val="002136F6"/>
    <w:rPr>
      <w:rFonts w:ascii="Times New Roman" w:eastAsia="Times New Roman" w:hAnsi="Times New Roman"/>
    </w:rPr>
  </w:style>
  <w:style w:type="character" w:customStyle="1" w:styleId="B2Char">
    <w:name w:val="B2 Char"/>
    <w:link w:val="B2"/>
    <w:qFormat/>
    <w:locked/>
    <w:rsid w:val="002136F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975340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27745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30088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07224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06264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29544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8e/Docs/RP-20130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2-e/Docs/R2-2010841.zip" TargetMode="External"/><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5AIRPNAIUNRU-1830940522-9406</_dlc_DocId>
    <_dlc_DocIdUrl xmlns="71c5aaf6-e6ce-465b-b873-5148d2a4c105">
      <Url>https://nokia.sharepoint.com/sites/c5g/5gradio/_layouts/15/DocIdRedir.aspx?ID=5AIRPNAIUNRU-1830940522-9406</Url>
      <Description>5AIRPNAIUNRU-1830940522-9406</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C43E7622-6814-4364-A07D-2CEBB8D0A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368A25B4-FE0E-4BF7-99C6-B89B4729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5</Pages>
  <Words>1816</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11459</CharactersWithSpaces>
  <SharedDoc>false</SharedDoc>
  <HLinks>
    <vt:vector size="18" baseType="variant">
      <vt:variant>
        <vt:i4>6619227</vt:i4>
      </vt:variant>
      <vt:variant>
        <vt:i4>3</vt:i4>
      </vt:variant>
      <vt:variant>
        <vt:i4>0</vt:i4>
      </vt:variant>
      <vt:variant>
        <vt:i4>5</vt:i4>
      </vt:variant>
      <vt:variant>
        <vt:lpwstr>https://www.3gpp.org/ftp/tsg_ran/TSG_RAN/TSGR_88e/Docs/RP-201305.zip</vt:lpwstr>
      </vt:variant>
      <vt:variant>
        <vt:lpwstr/>
      </vt:variant>
      <vt:variant>
        <vt:i4>1441903</vt:i4>
      </vt:variant>
      <vt:variant>
        <vt:i4>0</vt:i4>
      </vt:variant>
      <vt:variant>
        <vt:i4>0</vt:i4>
      </vt:variant>
      <vt:variant>
        <vt:i4>5</vt:i4>
      </vt:variant>
      <vt:variant>
        <vt:lpwstr>https://www.3gpp.org/ftp/tsg_ran/WG2_RL2/TSGR2_112-e/Docs/R2-2010841.zip</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51</cp:revision>
  <cp:lastPrinted>2016-06-20T11:35:00Z</cp:lastPrinted>
  <dcterms:created xsi:type="dcterms:W3CDTF">2020-09-25T08:39:00Z</dcterms:created>
  <dcterms:modified xsi:type="dcterms:W3CDTF">2021-01-18T14:35:00Z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2aa0b04e-a656-4081-8009-b417b8f0c8b4</vt:lpwstr>
  </property>
</Properties>
</file>